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F9" w:rsidRPr="00DC57AC" w:rsidRDefault="00B364F9" w:rsidP="00B364F9">
      <w:pPr>
        <w:rPr>
          <w:rFonts w:ascii="Arial" w:eastAsia="Arial" w:hAnsi="Arial" w:cs="Arial"/>
          <w:color w:val="000000"/>
          <w:spacing w:val="-2"/>
        </w:rPr>
      </w:pPr>
    </w:p>
    <w:p w:rsidR="00DC57AC" w:rsidRPr="00DC57AC" w:rsidRDefault="00DC57AC" w:rsidP="00B364F9">
      <w:pPr>
        <w:rPr>
          <w:rFonts w:ascii="Arial" w:eastAsia="Arial" w:hAnsi="Arial" w:cs="Arial"/>
          <w:color w:val="000000"/>
          <w:spacing w:val="-2"/>
        </w:rPr>
      </w:pPr>
      <w:r w:rsidRPr="00DC57AC">
        <w:rPr>
          <w:rFonts w:ascii="Arial" w:eastAsia="Arial" w:hAnsi="Arial" w:cs="Arial"/>
          <w:noProof/>
          <w:color w:val="000000"/>
          <w:spacing w:val="-2"/>
          <w:lang w:eastAsia="en-GB"/>
        </w:rPr>
        <w:drawing>
          <wp:inline distT="0" distB="0" distL="0" distR="0">
            <wp:extent cx="2314575" cy="231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canva.png"/>
                    <pic:cNvPicPr/>
                  </pic:nvPicPr>
                  <pic:blipFill>
                    <a:blip r:embed="rId5">
                      <a:extLst>
                        <a:ext uri="{28A0092B-C50C-407E-A947-70E740481C1C}">
                          <a14:useLocalDpi xmlns:a14="http://schemas.microsoft.com/office/drawing/2010/main" val="0"/>
                        </a:ext>
                      </a:extLst>
                    </a:blip>
                    <a:stretch>
                      <a:fillRect/>
                    </a:stretch>
                  </pic:blipFill>
                  <pic:spPr>
                    <a:xfrm>
                      <a:off x="0" y="0"/>
                      <a:ext cx="2314605" cy="2314605"/>
                    </a:xfrm>
                    <a:prstGeom prst="rect">
                      <a:avLst/>
                    </a:prstGeom>
                  </pic:spPr>
                </pic:pic>
              </a:graphicData>
            </a:graphic>
          </wp:inline>
        </w:drawing>
      </w:r>
    </w:p>
    <w:p w:rsidR="00DC57AC" w:rsidRPr="00DC57AC" w:rsidRDefault="00DC57AC" w:rsidP="00B364F9">
      <w:pPr>
        <w:rPr>
          <w:rFonts w:ascii="Arial" w:eastAsia="Arial" w:hAnsi="Arial" w:cs="Arial"/>
          <w:color w:val="000000"/>
          <w:spacing w:val="-2"/>
        </w:rPr>
      </w:pPr>
    </w:p>
    <w:p w:rsidR="00DC57AC" w:rsidRDefault="00DC57AC" w:rsidP="00DC57AC">
      <w:pPr>
        <w:jc w:val="center"/>
        <w:rPr>
          <w:rFonts w:ascii="Arial" w:eastAsia="Arial" w:hAnsi="Arial" w:cs="Arial"/>
          <w:b/>
          <w:color w:val="000000"/>
          <w:spacing w:val="-2"/>
          <w:sz w:val="32"/>
          <w:szCs w:val="32"/>
        </w:rPr>
      </w:pPr>
      <w:r w:rsidRPr="00DC57AC">
        <w:rPr>
          <w:rFonts w:ascii="Arial" w:eastAsia="Arial" w:hAnsi="Arial" w:cs="Arial"/>
          <w:b/>
          <w:color w:val="000000"/>
          <w:spacing w:val="-2"/>
          <w:sz w:val="32"/>
          <w:szCs w:val="32"/>
        </w:rPr>
        <w:t>NOTTING HILL MEDICAL PRACTICE COMPLAINTS PROCEUDRE</w:t>
      </w:r>
      <w:r>
        <w:rPr>
          <w:rFonts w:ascii="Arial" w:eastAsia="Arial" w:hAnsi="Arial" w:cs="Arial"/>
          <w:b/>
          <w:color w:val="000000"/>
          <w:spacing w:val="-2"/>
          <w:sz w:val="32"/>
          <w:szCs w:val="32"/>
        </w:rPr>
        <w:t xml:space="preserve"> </w:t>
      </w:r>
    </w:p>
    <w:p w:rsidR="00DC57AC" w:rsidRPr="00DC57AC" w:rsidRDefault="00DC57AC" w:rsidP="00DC57AC">
      <w:pPr>
        <w:jc w:val="center"/>
        <w:rPr>
          <w:rFonts w:ascii="Arial" w:eastAsia="Arial" w:hAnsi="Arial" w:cs="Arial"/>
          <w:b/>
          <w:color w:val="000000"/>
          <w:spacing w:val="-2"/>
          <w:sz w:val="32"/>
          <w:szCs w:val="32"/>
        </w:rPr>
      </w:pPr>
    </w:p>
    <w:p w:rsidR="00DC57AC" w:rsidRPr="00DC57AC" w:rsidRDefault="00DC57AC" w:rsidP="00B364F9">
      <w:pPr>
        <w:rPr>
          <w:rFonts w:ascii="Arial" w:eastAsia="Arial" w:hAnsi="Arial" w:cs="Arial"/>
          <w:color w:val="000000"/>
          <w:spacing w:val="-2"/>
        </w:rPr>
      </w:pPr>
    </w:p>
    <w:p w:rsidR="00B364F9" w:rsidRPr="00DC57AC" w:rsidRDefault="00B364F9" w:rsidP="00B364F9">
      <w:pPr>
        <w:jc w:val="both"/>
        <w:rPr>
          <w:rFonts w:ascii="Arial" w:eastAsia="Arial" w:hAnsi="Arial" w:cs="Arial"/>
          <w:color w:val="000000"/>
          <w:spacing w:val="-2"/>
        </w:rPr>
      </w:pPr>
      <w:r w:rsidRPr="00DC57AC">
        <w:rPr>
          <w:rFonts w:ascii="Arial" w:eastAsia="Arial" w:hAnsi="Arial" w:cs="Arial"/>
          <w:color w:val="000000"/>
          <w:spacing w:val="-2"/>
        </w:rPr>
        <w:t>This document and the information contained therein is th</w:t>
      </w:r>
      <w:r w:rsidR="00DC57AC">
        <w:rPr>
          <w:rFonts w:ascii="Arial" w:eastAsia="Arial" w:hAnsi="Arial" w:cs="Arial"/>
          <w:color w:val="000000"/>
          <w:spacing w:val="-2"/>
        </w:rPr>
        <w:t>e property of NHMP</w:t>
      </w:r>
      <w:r w:rsidRPr="00DC57AC">
        <w:rPr>
          <w:rFonts w:ascii="Arial" w:eastAsia="Arial" w:hAnsi="Arial" w:cs="Arial"/>
          <w:color w:val="000000"/>
          <w:spacing w:val="-2"/>
        </w:rPr>
        <w:t>.</w:t>
      </w:r>
    </w:p>
    <w:p w:rsidR="00B364F9" w:rsidRPr="00DC57AC" w:rsidRDefault="00B364F9" w:rsidP="00B364F9">
      <w:pPr>
        <w:jc w:val="both"/>
        <w:rPr>
          <w:rFonts w:ascii="Arial" w:eastAsia="Arial" w:hAnsi="Arial" w:cs="Arial"/>
          <w:color w:val="000000"/>
          <w:spacing w:val="-2"/>
        </w:rPr>
      </w:pPr>
    </w:p>
    <w:p w:rsidR="00B364F9" w:rsidRPr="00DC57AC" w:rsidRDefault="00B364F9" w:rsidP="00B364F9">
      <w:pPr>
        <w:jc w:val="both"/>
        <w:rPr>
          <w:rFonts w:ascii="Arial" w:eastAsia="Arial" w:hAnsi="Arial" w:cs="Arial"/>
          <w:color w:val="000000"/>
          <w:spacing w:val="-2"/>
        </w:rPr>
      </w:pPr>
      <w:r w:rsidRPr="00DC57AC">
        <w:rPr>
          <w:rFonts w:ascii="Arial" w:eastAsia="Arial" w:hAnsi="Arial" w:cs="Arial"/>
          <w:color w:val="000000"/>
          <w:spacing w:val="-2"/>
        </w:rPr>
        <w:t>This document contains information that is privileged, confidential or otherwise protected from disclosure. It must not be used by, or its contents reproduced or otherwise copied or disclosed without the prior consent in</w:t>
      </w:r>
      <w:r w:rsidR="00DC57AC">
        <w:rPr>
          <w:rFonts w:ascii="Arial" w:eastAsia="Arial" w:hAnsi="Arial" w:cs="Arial"/>
          <w:color w:val="000000"/>
          <w:spacing w:val="-2"/>
        </w:rPr>
        <w:t xml:space="preserve"> writing from NHMP</w:t>
      </w:r>
      <w:r w:rsidRPr="00DC57AC">
        <w:rPr>
          <w:rFonts w:ascii="Arial" w:eastAsia="Arial" w:hAnsi="Arial" w:cs="Arial"/>
          <w:color w:val="000000"/>
          <w:spacing w:val="-2"/>
        </w:rPr>
        <w:t>.</w:t>
      </w:r>
    </w:p>
    <w:p w:rsidR="00B364F9" w:rsidRPr="00DC57AC" w:rsidRDefault="00B364F9" w:rsidP="00B364F9">
      <w:pPr>
        <w:rPr>
          <w:rFonts w:ascii="Arial" w:eastAsia="Arial" w:hAnsi="Arial" w:cs="Arial"/>
          <w:color w:val="000000"/>
          <w:spacing w:val="-2"/>
        </w:rPr>
      </w:pPr>
    </w:p>
    <w:p w:rsidR="00B364F9" w:rsidRPr="00DC57AC" w:rsidRDefault="00B364F9">
      <w:pPr>
        <w:spacing w:after="160" w:line="259" w:lineRule="auto"/>
        <w:rPr>
          <w:rFonts w:ascii="Arial" w:hAnsi="Arial" w:cs="Arial"/>
        </w:rPr>
      </w:pPr>
      <w:r w:rsidRPr="00DC57AC">
        <w:rPr>
          <w:rFonts w:ascii="Arial" w:hAnsi="Arial" w:cs="Arial"/>
        </w:rPr>
        <w:br w:type="page"/>
      </w:r>
    </w:p>
    <w:p w:rsidR="00B364F9" w:rsidRPr="00DC57AC" w:rsidRDefault="00B364F9" w:rsidP="00B364F9">
      <w:pPr>
        <w:keepNext/>
        <w:keepLines/>
        <w:spacing w:before="240" w:line="259" w:lineRule="auto"/>
        <w:outlineLvl w:val="0"/>
        <w:rPr>
          <w:rFonts w:ascii="Arial" w:eastAsia="Arial" w:hAnsi="Arial" w:cs="Arial"/>
          <w:b/>
          <w:color w:val="000000" w:themeColor="text1"/>
          <w:lang w:eastAsia="en-GB"/>
        </w:rPr>
      </w:pPr>
    </w:p>
    <w:p w:rsidR="00B364F9" w:rsidRPr="00DC57AC" w:rsidRDefault="00B364F9" w:rsidP="00B364F9">
      <w:pPr>
        <w:keepNext/>
        <w:keepLines/>
        <w:spacing w:before="240" w:line="259" w:lineRule="auto"/>
        <w:outlineLvl w:val="0"/>
        <w:rPr>
          <w:rFonts w:ascii="Arial" w:eastAsia="Arial" w:hAnsi="Arial" w:cs="Arial"/>
          <w:b/>
          <w:color w:val="000000" w:themeColor="text1"/>
          <w:lang w:eastAsia="en-GB"/>
        </w:rPr>
      </w:pPr>
    </w:p>
    <w:p w:rsidR="00B364F9" w:rsidRPr="00DC57AC" w:rsidRDefault="00B364F9" w:rsidP="00B364F9">
      <w:pPr>
        <w:keepNext/>
        <w:keepLines/>
        <w:spacing w:before="240" w:line="259" w:lineRule="auto"/>
        <w:outlineLvl w:val="0"/>
        <w:rPr>
          <w:rFonts w:ascii="Arial" w:eastAsia="Arial" w:hAnsi="Arial" w:cs="Arial"/>
          <w:b/>
          <w:color w:val="000000" w:themeColor="text1"/>
          <w:lang w:eastAsia="en-GB"/>
        </w:rPr>
      </w:pPr>
    </w:p>
    <w:p w:rsidR="00B364F9" w:rsidRPr="00DC57AC" w:rsidRDefault="00B364F9" w:rsidP="00B364F9">
      <w:pPr>
        <w:keepNext/>
        <w:keepLines/>
        <w:spacing w:before="240" w:line="259" w:lineRule="auto"/>
        <w:outlineLvl w:val="0"/>
        <w:rPr>
          <w:rFonts w:ascii="Arial" w:eastAsia="Arial" w:hAnsi="Arial" w:cs="Arial"/>
          <w:b/>
          <w:color w:val="000000" w:themeColor="text1"/>
          <w:lang w:eastAsia="en-GB"/>
        </w:rPr>
      </w:pPr>
      <w:r w:rsidRPr="00DC57AC">
        <w:rPr>
          <w:rFonts w:ascii="Arial" w:eastAsia="Arial" w:hAnsi="Arial" w:cs="Arial"/>
          <w:b/>
          <w:color w:val="000000" w:themeColor="text1"/>
          <w:lang w:eastAsia="en-GB"/>
        </w:rPr>
        <w:t>Contents</w:t>
      </w: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Purpose</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Legislative and Governance Framework</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Scope</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Principles of Complaints Handling</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Definition of a Complaint</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Rights of Complainants</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Complaints Handling Procedure</w:t>
      </w:r>
    </w:p>
    <w:p w:rsidR="00B364F9" w:rsidRPr="00DC57AC" w:rsidRDefault="00B364F9" w:rsidP="00B364F9">
      <w:pPr>
        <w:pStyle w:val="ListParagraph"/>
        <w:numPr>
          <w:ilvl w:val="0"/>
          <w:numId w:val="1"/>
        </w:numPr>
        <w:spacing w:line="480" w:lineRule="auto"/>
        <w:rPr>
          <w:rFonts w:ascii="Arial" w:eastAsia="Arial" w:hAnsi="Arial" w:cs="Arial"/>
          <w:color w:val="252525"/>
          <w:lang w:eastAsia="en-GB"/>
        </w:rPr>
      </w:pPr>
      <w:r w:rsidRPr="00DC57AC">
        <w:rPr>
          <w:rFonts w:ascii="Arial" w:eastAsia="Arial" w:hAnsi="Arial" w:cs="Arial"/>
          <w:color w:val="252525"/>
          <w:lang w:eastAsia="en-GB"/>
        </w:rPr>
        <w:t>Consent and Confidentiality</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Resolution at Any Stage</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Recording, Monitoring and Governance</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Learning and Service Improvement</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Advocacy and Support for Complainants</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Escalation to the Ombudsman</w:t>
      </w:r>
    </w:p>
    <w:p w:rsidR="00B364F9" w:rsidRPr="00DC57AC" w:rsidRDefault="00B364F9" w:rsidP="00B364F9">
      <w:pPr>
        <w:numPr>
          <w:ilvl w:val="0"/>
          <w:numId w:val="1"/>
        </w:numPr>
        <w:spacing w:after="160" w:line="480" w:lineRule="auto"/>
        <w:contextualSpacing/>
        <w:rPr>
          <w:rFonts w:ascii="Arial" w:eastAsiaTheme="minorEastAsia" w:hAnsi="Arial" w:cs="Arial"/>
          <w:lang w:eastAsia="en-GB"/>
        </w:rPr>
      </w:pPr>
      <w:r w:rsidRPr="00DC57AC">
        <w:rPr>
          <w:rFonts w:ascii="Arial" w:eastAsia="Arial" w:hAnsi="Arial" w:cs="Arial"/>
          <w:color w:val="252525"/>
          <w:lang w:eastAsia="en-GB"/>
        </w:rPr>
        <w:t>Policy Review</w:t>
      </w:r>
    </w:p>
    <w:p w:rsidR="00B364F9" w:rsidRPr="00DC57AC" w:rsidRDefault="00B364F9" w:rsidP="00B364F9">
      <w:pPr>
        <w:spacing w:after="160" w:line="480" w:lineRule="auto"/>
        <w:ind w:left="644"/>
        <w:contextualSpacing/>
        <w:rPr>
          <w:rFonts w:ascii="Arial" w:eastAsiaTheme="minorEastAsia" w:hAnsi="Arial" w:cs="Arial"/>
          <w:lang w:eastAsia="en-GB"/>
        </w:rPr>
      </w:pPr>
    </w:p>
    <w:p w:rsidR="00B364F9" w:rsidRPr="00DC57AC" w:rsidRDefault="00B364F9">
      <w:pPr>
        <w:spacing w:after="160" w:line="259" w:lineRule="auto"/>
        <w:rPr>
          <w:rFonts w:ascii="Arial" w:eastAsia="Arial" w:hAnsi="Arial" w:cs="Arial"/>
          <w:color w:val="252525"/>
          <w:lang w:eastAsia="en-GB"/>
        </w:rPr>
      </w:pPr>
      <w:r w:rsidRPr="00DC57AC">
        <w:rPr>
          <w:rFonts w:ascii="Arial" w:eastAsia="Arial" w:hAnsi="Arial" w:cs="Arial"/>
          <w:color w:val="252525"/>
          <w:lang w:eastAsia="en-GB"/>
        </w:rPr>
        <w:br w:type="page"/>
      </w:r>
    </w:p>
    <w:p w:rsidR="00314D8E" w:rsidRPr="00DC57AC" w:rsidRDefault="00314D8E" w:rsidP="00B364F9">
      <w:pPr>
        <w:pStyle w:val="ListParagraph"/>
        <w:spacing w:line="276" w:lineRule="auto"/>
        <w:ind w:left="644"/>
        <w:rPr>
          <w:rFonts w:ascii="Arial" w:hAnsi="Arial" w:cs="Arial"/>
        </w:rPr>
      </w:pPr>
    </w:p>
    <w:p w:rsidR="00B364F9" w:rsidRPr="00DC57AC" w:rsidRDefault="00B364F9" w:rsidP="00B364F9">
      <w:pPr>
        <w:pStyle w:val="ListParagraph"/>
        <w:spacing w:line="276" w:lineRule="auto"/>
        <w:ind w:left="644"/>
        <w:rPr>
          <w:rFonts w:ascii="Arial" w:hAnsi="Arial" w:cs="Arial"/>
        </w:rPr>
      </w:pPr>
    </w:p>
    <w:p w:rsidR="00B364F9" w:rsidRPr="00DC57AC" w:rsidRDefault="00B364F9" w:rsidP="00B364F9">
      <w:pPr>
        <w:pStyle w:val="ListParagraph"/>
        <w:numPr>
          <w:ilvl w:val="0"/>
          <w:numId w:val="2"/>
        </w:numPr>
        <w:spacing w:line="276" w:lineRule="auto"/>
        <w:ind w:left="360"/>
        <w:rPr>
          <w:rFonts w:ascii="Arial" w:hAnsi="Arial" w:cs="Arial"/>
          <w:b/>
        </w:rPr>
      </w:pPr>
      <w:r w:rsidRPr="00DC57AC">
        <w:rPr>
          <w:rFonts w:ascii="Arial" w:hAnsi="Arial" w:cs="Arial"/>
          <w:b/>
        </w:rPr>
        <w:t>Purpose</w:t>
      </w:r>
    </w:p>
    <w:p w:rsidR="00B364F9" w:rsidRPr="00DC57AC" w:rsidRDefault="00B364F9" w:rsidP="00B364F9">
      <w:pPr>
        <w:pStyle w:val="ListParagraph"/>
        <w:spacing w:line="276" w:lineRule="auto"/>
        <w:ind w:left="0"/>
        <w:rPr>
          <w:rFonts w:ascii="Arial" w:hAnsi="Arial" w:cs="Arial"/>
        </w:rPr>
      </w:pPr>
    </w:p>
    <w:p w:rsidR="00B364F9" w:rsidRPr="00DC57AC" w:rsidRDefault="00B364F9" w:rsidP="00B364F9">
      <w:pPr>
        <w:pStyle w:val="ListParagraph"/>
        <w:spacing w:line="276" w:lineRule="auto"/>
        <w:ind w:left="0"/>
        <w:rPr>
          <w:rFonts w:ascii="Arial" w:hAnsi="Arial" w:cs="Arial"/>
        </w:rPr>
      </w:pPr>
      <w:r w:rsidRPr="00DC57AC">
        <w:rPr>
          <w:rFonts w:ascii="Arial" w:hAnsi="Arial" w:cs="Arial"/>
        </w:rPr>
        <w:t>This procedure is based on HSC Complaints Procedure implemented by the Strategic Planning &amp; Performance Group (SPPG) and Model Complaints Handling Procedure (MCHP)</w:t>
      </w:r>
    </w:p>
    <w:p w:rsidR="00B364F9" w:rsidRPr="00DC57AC" w:rsidRDefault="00B364F9" w:rsidP="00B364F9">
      <w:pPr>
        <w:pStyle w:val="ListParagraph"/>
        <w:spacing w:line="276" w:lineRule="auto"/>
        <w:ind w:left="0"/>
        <w:rPr>
          <w:rFonts w:ascii="Arial" w:hAnsi="Arial" w:cs="Arial"/>
        </w:rPr>
      </w:pPr>
    </w:p>
    <w:p w:rsidR="00B364F9" w:rsidRPr="00DC57AC" w:rsidRDefault="00B364F9" w:rsidP="00B364F9">
      <w:pPr>
        <w:pStyle w:val="ListParagraph"/>
        <w:spacing w:line="276" w:lineRule="auto"/>
        <w:ind w:left="0"/>
        <w:rPr>
          <w:rFonts w:ascii="Arial" w:hAnsi="Arial" w:cs="Arial"/>
        </w:rPr>
      </w:pPr>
      <w:r w:rsidRPr="00DC57AC">
        <w:rPr>
          <w:rFonts w:ascii="Arial" w:hAnsi="Arial" w:cs="Arial"/>
        </w:rPr>
        <w:t>The key aims are to ensure that all complaints receive thorough and timely investigation, that appropriated responses are provided that an audit trail is evident in relation to the process and that corrective actions are undertaken and learning outcomes implemented.</w:t>
      </w:r>
    </w:p>
    <w:p w:rsidR="00B364F9" w:rsidRPr="00DC57AC" w:rsidRDefault="00B364F9" w:rsidP="00B364F9">
      <w:pPr>
        <w:pStyle w:val="ListParagraph"/>
        <w:spacing w:line="276" w:lineRule="auto"/>
        <w:ind w:left="284"/>
        <w:rPr>
          <w:rFonts w:ascii="Arial" w:hAnsi="Arial" w:cs="Arial"/>
        </w:rPr>
      </w:pPr>
    </w:p>
    <w:p w:rsidR="00B364F9" w:rsidRPr="00DC57AC" w:rsidRDefault="00B364F9" w:rsidP="00B364F9">
      <w:p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The organisation is committed to:</w:t>
      </w:r>
    </w:p>
    <w:p w:rsidR="00B364F9" w:rsidRPr="00DC57AC" w:rsidRDefault="00B364F9" w:rsidP="00B364F9">
      <w:pPr>
        <w:numPr>
          <w:ilvl w:val="0"/>
          <w:numId w:val="3"/>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Listening and responding to concerns and complaints.</w:t>
      </w:r>
    </w:p>
    <w:p w:rsidR="00B364F9" w:rsidRPr="00DC57AC" w:rsidRDefault="00B364F9" w:rsidP="00B364F9">
      <w:pPr>
        <w:numPr>
          <w:ilvl w:val="0"/>
          <w:numId w:val="3"/>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Providing fair, open, and timely resolution.</w:t>
      </w:r>
    </w:p>
    <w:p w:rsidR="00B364F9" w:rsidRPr="00DC57AC" w:rsidRDefault="00B364F9" w:rsidP="00B364F9">
      <w:pPr>
        <w:numPr>
          <w:ilvl w:val="0"/>
          <w:numId w:val="3"/>
        </w:numPr>
        <w:spacing w:after="160" w:line="276" w:lineRule="auto"/>
        <w:contextualSpacing/>
        <w:rPr>
          <w:rFonts w:ascii="Arial" w:eastAsia="Arial" w:hAnsi="Arial" w:cs="Arial"/>
          <w:color w:val="252525"/>
          <w:lang w:eastAsia="en-GB"/>
        </w:rPr>
      </w:pPr>
      <w:r w:rsidRPr="00DC57AC">
        <w:rPr>
          <w:rFonts w:ascii="Arial" w:eastAsia="Arial" w:hAnsi="Arial" w:cs="Arial"/>
          <w:color w:val="252525"/>
          <w:lang w:eastAsia="en-GB"/>
        </w:rPr>
        <w:t>Learning from complaints to improve the quality and safety of services.</w:t>
      </w:r>
    </w:p>
    <w:p w:rsidR="00B364F9" w:rsidRPr="00DC57AC" w:rsidRDefault="00B364F9" w:rsidP="00B364F9">
      <w:pPr>
        <w:spacing w:after="160" w:line="360" w:lineRule="auto"/>
        <w:contextualSpacing/>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2. Legislative and Governance Framework</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This policy is informed by:</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4"/>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Guidance issued by the Department of Health.</w:t>
      </w:r>
    </w:p>
    <w:p w:rsidR="00B364F9" w:rsidRPr="00DC57AC" w:rsidRDefault="00B364F9" w:rsidP="00B364F9">
      <w:pPr>
        <w:numPr>
          <w:ilvl w:val="0"/>
          <w:numId w:val="4"/>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The Health and Social Care Complaints Procedure (NI) and Model Complaints Handling Procedure (MCHP).</w:t>
      </w:r>
    </w:p>
    <w:p w:rsidR="00B364F9" w:rsidRPr="00DC57AC" w:rsidRDefault="00B364F9" w:rsidP="00B364F9">
      <w:pPr>
        <w:numPr>
          <w:ilvl w:val="0"/>
          <w:numId w:val="4"/>
        </w:numPr>
        <w:spacing w:after="160" w:line="276" w:lineRule="auto"/>
        <w:contextualSpacing/>
        <w:rPr>
          <w:rFonts w:ascii="Arial" w:eastAsia="Arial" w:hAnsi="Arial" w:cs="Arial"/>
          <w:color w:val="252525"/>
          <w:lang w:eastAsia="en-GB"/>
        </w:rPr>
      </w:pPr>
      <w:r w:rsidRPr="00DC57AC">
        <w:rPr>
          <w:rFonts w:ascii="Arial" w:eastAsia="Arial" w:hAnsi="Arial" w:cs="Arial"/>
          <w:color w:val="252525"/>
          <w:lang w:eastAsia="en-GB"/>
        </w:rPr>
        <w:t>Relevant equality, human rights, mental capacity, and data protection legislation.</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3. Scope</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This policy applies to all complaints received from:</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5"/>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Service users</w:t>
      </w:r>
    </w:p>
    <w:p w:rsidR="00B364F9" w:rsidRPr="00DC57AC" w:rsidRDefault="00B364F9" w:rsidP="00B364F9">
      <w:pPr>
        <w:numPr>
          <w:ilvl w:val="0"/>
          <w:numId w:val="5"/>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Relatives, carers, or advocates</w:t>
      </w:r>
    </w:p>
    <w:p w:rsidR="00B364F9" w:rsidRPr="00DC57AC" w:rsidRDefault="00B364F9" w:rsidP="00B364F9">
      <w:pPr>
        <w:numPr>
          <w:ilvl w:val="0"/>
          <w:numId w:val="5"/>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Representatives acting on behalf of a service user</w:t>
      </w:r>
    </w:p>
    <w:p w:rsidR="00B364F9" w:rsidRPr="00DC57AC" w:rsidRDefault="00B364F9" w:rsidP="00B364F9">
      <w:pPr>
        <w:numPr>
          <w:ilvl w:val="0"/>
          <w:numId w:val="5"/>
        </w:numPr>
        <w:spacing w:after="160" w:line="276" w:lineRule="auto"/>
        <w:contextualSpacing/>
        <w:rPr>
          <w:rFonts w:ascii="Arial" w:eastAsia="Arial" w:hAnsi="Arial" w:cs="Arial"/>
          <w:color w:val="252525"/>
          <w:lang w:eastAsia="en-GB"/>
        </w:rPr>
      </w:pPr>
      <w:r w:rsidRPr="00DC57AC">
        <w:rPr>
          <w:rFonts w:ascii="Arial" w:eastAsia="Arial" w:hAnsi="Arial" w:cs="Arial"/>
          <w:color w:val="252525"/>
          <w:lang w:eastAsia="en-GB"/>
        </w:rPr>
        <w:t>Members of the public affected by service delivery</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It covers complaints relating to any aspect of care, treatment, communication, environment, or organisational decision-making.</w:t>
      </w: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4. Principles of Complaints Handling</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Complaints will be managed in accordance with HSC values and good governance principles:</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6"/>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Person-centred</w:t>
      </w:r>
    </w:p>
    <w:p w:rsidR="00B364F9" w:rsidRPr="00DC57AC" w:rsidRDefault="00B364F9" w:rsidP="00B364F9">
      <w:pPr>
        <w:numPr>
          <w:ilvl w:val="0"/>
          <w:numId w:val="6"/>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Accessible and inclusive</w:t>
      </w:r>
    </w:p>
    <w:p w:rsidR="00B364F9" w:rsidRPr="00DC57AC" w:rsidRDefault="00B364F9" w:rsidP="00B364F9">
      <w:pPr>
        <w:numPr>
          <w:ilvl w:val="0"/>
          <w:numId w:val="6"/>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Timely and responsive</w:t>
      </w:r>
    </w:p>
    <w:p w:rsidR="00B364F9" w:rsidRPr="00DC57AC" w:rsidRDefault="00B364F9" w:rsidP="00DC57AC">
      <w:pPr>
        <w:numPr>
          <w:ilvl w:val="0"/>
          <w:numId w:val="6"/>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lastRenderedPageBreak/>
        <w:t>Open and transparent</w:t>
      </w:r>
    </w:p>
    <w:p w:rsidR="00B364F9" w:rsidRPr="00DC57AC" w:rsidRDefault="00B364F9" w:rsidP="00B364F9">
      <w:pPr>
        <w:numPr>
          <w:ilvl w:val="0"/>
          <w:numId w:val="6"/>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Fair and proportionate</w:t>
      </w:r>
    </w:p>
    <w:p w:rsidR="00B364F9" w:rsidRPr="00DC57AC" w:rsidRDefault="00B364F9" w:rsidP="00B364F9">
      <w:pPr>
        <w:numPr>
          <w:ilvl w:val="0"/>
          <w:numId w:val="6"/>
        </w:numPr>
        <w:spacing w:after="160" w:line="276" w:lineRule="auto"/>
        <w:contextualSpacing/>
        <w:rPr>
          <w:rFonts w:ascii="Arial" w:eastAsia="Arial" w:hAnsi="Arial" w:cs="Arial"/>
          <w:color w:val="252525"/>
          <w:lang w:eastAsia="en-GB"/>
        </w:rPr>
      </w:pPr>
      <w:r w:rsidRPr="00DC57AC">
        <w:rPr>
          <w:rFonts w:ascii="Arial" w:eastAsia="Arial" w:hAnsi="Arial" w:cs="Arial"/>
          <w:color w:val="252525"/>
          <w:lang w:eastAsia="en-GB"/>
        </w:rPr>
        <w:t>Learning-focused</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5. Definition of a Complaint</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A complaint is any expression of dissatisfaction, whether verbal or written, about an action, decision, omission, or standard of service that requires a response</w:t>
      </w: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6. Rights of Complainants</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Complainants will:</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1"/>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Be treated with dignity, respect, and compassion.</w:t>
      </w:r>
    </w:p>
    <w:p w:rsidR="00B364F9" w:rsidRPr="00DC57AC" w:rsidRDefault="00B364F9" w:rsidP="00B364F9">
      <w:pPr>
        <w:numPr>
          <w:ilvl w:val="0"/>
          <w:numId w:val="11"/>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Receive information about advocacy and support services.</w:t>
      </w:r>
    </w:p>
    <w:p w:rsidR="00B364F9" w:rsidRPr="00DC57AC" w:rsidRDefault="00B364F9" w:rsidP="00B364F9">
      <w:pPr>
        <w:numPr>
          <w:ilvl w:val="0"/>
          <w:numId w:val="11"/>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Be kept informed of progress and delays.</w:t>
      </w:r>
    </w:p>
    <w:p w:rsidR="00B364F9" w:rsidRPr="00DC57AC" w:rsidRDefault="00B364F9" w:rsidP="00B364F9">
      <w:pPr>
        <w:numPr>
          <w:ilvl w:val="0"/>
          <w:numId w:val="11"/>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Receive clear explanations of findings and actions.</w:t>
      </w:r>
    </w:p>
    <w:p w:rsidR="00B364F9" w:rsidRPr="00DC57AC" w:rsidRDefault="00B364F9" w:rsidP="00B364F9">
      <w:pPr>
        <w:numPr>
          <w:ilvl w:val="0"/>
          <w:numId w:val="11"/>
        </w:numPr>
        <w:spacing w:after="160" w:line="276" w:lineRule="auto"/>
        <w:contextualSpacing/>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Be advised of options for further independent review</w:t>
      </w:r>
    </w:p>
    <w:p w:rsidR="00B364F9" w:rsidRPr="00DC57AC" w:rsidRDefault="00B364F9" w:rsidP="00B364F9">
      <w:pPr>
        <w:spacing w:line="276" w:lineRule="auto"/>
        <w:rPr>
          <w:rFonts w:ascii="Arial" w:hAnsi="Arial" w:cs="Arial"/>
        </w:rPr>
      </w:pPr>
    </w:p>
    <w:p w:rsidR="00B364F9" w:rsidRPr="00DC57AC" w:rsidRDefault="00B364F9" w:rsidP="00B364F9">
      <w:pPr>
        <w:spacing w:line="276" w:lineRule="auto"/>
        <w:rPr>
          <w:rFonts w:ascii="Arial" w:hAnsi="Arial" w:cs="Arial"/>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7. Complaints Handling Procedure</w:t>
      </w:r>
    </w:p>
    <w:p w:rsidR="00B364F9" w:rsidRPr="00DC57AC" w:rsidRDefault="00B364F9" w:rsidP="00B364F9">
      <w:pPr>
        <w:spacing w:line="276" w:lineRule="auto"/>
        <w:rPr>
          <w:rFonts w:ascii="Arial" w:hAnsi="Arial" w:cs="Arial"/>
        </w:rPr>
      </w:pPr>
    </w:p>
    <w:p w:rsidR="00B364F9" w:rsidRPr="00DC57AC" w:rsidRDefault="00B364F9" w:rsidP="00B364F9">
      <w:pPr>
        <w:jc w:val="both"/>
        <w:rPr>
          <w:rFonts w:ascii="Arial" w:hAnsi="Arial" w:cs="Arial"/>
        </w:rPr>
      </w:pPr>
      <w:r w:rsidRPr="00DC57AC">
        <w:rPr>
          <w:rFonts w:ascii="Arial" w:hAnsi="Arial" w:cs="Arial"/>
        </w:rPr>
        <w:t>Any person can complain about any matter connected with the provision of services provided by the Practice.</w:t>
      </w:r>
    </w:p>
    <w:p w:rsidR="00B364F9" w:rsidRPr="00DC57AC" w:rsidRDefault="00B364F9" w:rsidP="00B364F9">
      <w:pPr>
        <w:jc w:val="both"/>
        <w:rPr>
          <w:rFonts w:ascii="Arial" w:hAnsi="Arial" w:cs="Arial"/>
        </w:rPr>
      </w:pPr>
    </w:p>
    <w:p w:rsidR="00B364F9" w:rsidRPr="00DC57AC" w:rsidRDefault="00B364F9" w:rsidP="00B364F9">
      <w:pPr>
        <w:pStyle w:val="NoSpacing"/>
        <w:numPr>
          <w:ilvl w:val="0"/>
          <w:numId w:val="7"/>
        </w:numPr>
        <w:spacing w:line="276" w:lineRule="auto"/>
        <w:jc w:val="both"/>
        <w:rPr>
          <w:rFonts w:ascii="Arial" w:hAnsi="Arial" w:cs="Arial"/>
          <w:sz w:val="24"/>
          <w:szCs w:val="24"/>
        </w:rPr>
      </w:pPr>
      <w:r w:rsidRPr="00DC57AC">
        <w:rPr>
          <w:rFonts w:ascii="Arial" w:hAnsi="Arial" w:cs="Arial"/>
          <w:sz w:val="24"/>
          <w:szCs w:val="24"/>
        </w:rPr>
        <w:t>A patient</w:t>
      </w:r>
    </w:p>
    <w:p w:rsidR="00B364F9" w:rsidRPr="00DC57AC" w:rsidRDefault="00B364F9" w:rsidP="00B364F9">
      <w:pPr>
        <w:pStyle w:val="NoSpacing"/>
        <w:numPr>
          <w:ilvl w:val="0"/>
          <w:numId w:val="7"/>
        </w:numPr>
        <w:spacing w:line="276" w:lineRule="auto"/>
        <w:jc w:val="both"/>
        <w:rPr>
          <w:rFonts w:ascii="Arial" w:hAnsi="Arial" w:cs="Arial"/>
          <w:sz w:val="24"/>
          <w:szCs w:val="24"/>
        </w:rPr>
      </w:pPr>
      <w:r w:rsidRPr="00DC57AC">
        <w:rPr>
          <w:rFonts w:ascii="Arial" w:hAnsi="Arial" w:cs="Arial"/>
          <w:sz w:val="24"/>
          <w:szCs w:val="24"/>
        </w:rPr>
        <w:t>Former patients or clients using Practice services</w:t>
      </w:r>
    </w:p>
    <w:p w:rsidR="00B364F9" w:rsidRPr="00DC57AC" w:rsidRDefault="00B364F9" w:rsidP="00B364F9">
      <w:pPr>
        <w:pStyle w:val="NoSpacing"/>
        <w:numPr>
          <w:ilvl w:val="0"/>
          <w:numId w:val="7"/>
        </w:numPr>
        <w:spacing w:line="276" w:lineRule="auto"/>
        <w:jc w:val="both"/>
        <w:rPr>
          <w:rFonts w:ascii="Arial" w:hAnsi="Arial" w:cs="Arial"/>
          <w:sz w:val="24"/>
          <w:szCs w:val="24"/>
        </w:rPr>
      </w:pPr>
      <w:r w:rsidRPr="00DC57AC">
        <w:rPr>
          <w:rFonts w:ascii="Arial" w:hAnsi="Arial" w:cs="Arial"/>
          <w:sz w:val="24"/>
          <w:szCs w:val="24"/>
        </w:rPr>
        <w:t>Someone acting on behalf of existing or former patients or clients providing they have obtained the patient’s consent</w:t>
      </w:r>
    </w:p>
    <w:p w:rsidR="00B364F9" w:rsidRPr="00DC57AC" w:rsidRDefault="00B364F9" w:rsidP="00B364F9">
      <w:pPr>
        <w:pStyle w:val="NoSpacing"/>
        <w:numPr>
          <w:ilvl w:val="0"/>
          <w:numId w:val="7"/>
        </w:numPr>
        <w:spacing w:line="276" w:lineRule="auto"/>
        <w:jc w:val="both"/>
        <w:rPr>
          <w:rFonts w:ascii="Arial" w:hAnsi="Arial" w:cs="Arial"/>
          <w:sz w:val="24"/>
          <w:szCs w:val="24"/>
        </w:rPr>
      </w:pPr>
      <w:r w:rsidRPr="00DC57AC">
        <w:rPr>
          <w:rFonts w:ascii="Arial" w:hAnsi="Arial" w:cs="Arial"/>
          <w:sz w:val="24"/>
          <w:szCs w:val="24"/>
        </w:rPr>
        <w:t>Parents (or persons with parental responsibility) on behalf of a child</w:t>
      </w:r>
    </w:p>
    <w:p w:rsidR="00B364F9" w:rsidRPr="00DC57AC" w:rsidRDefault="00B364F9" w:rsidP="00B364F9">
      <w:pPr>
        <w:pStyle w:val="NoSpacing"/>
        <w:numPr>
          <w:ilvl w:val="0"/>
          <w:numId w:val="7"/>
        </w:numPr>
        <w:spacing w:line="276" w:lineRule="auto"/>
        <w:jc w:val="both"/>
        <w:rPr>
          <w:rFonts w:ascii="Arial" w:hAnsi="Arial" w:cs="Arial"/>
          <w:sz w:val="24"/>
          <w:szCs w:val="24"/>
        </w:rPr>
      </w:pPr>
      <w:r w:rsidRPr="00DC57AC">
        <w:rPr>
          <w:rFonts w:ascii="Arial" w:hAnsi="Arial" w:cs="Arial"/>
          <w:sz w:val="24"/>
          <w:szCs w:val="24"/>
        </w:rPr>
        <w:t>Any appropriate person in respect of a patient or client who has died e.g. the next of kin or their agent</w:t>
      </w:r>
    </w:p>
    <w:p w:rsidR="00B364F9" w:rsidRPr="00DC57AC" w:rsidRDefault="00B364F9" w:rsidP="00B364F9">
      <w:pPr>
        <w:pStyle w:val="NoSpacing"/>
        <w:jc w:val="both"/>
        <w:rPr>
          <w:rFonts w:ascii="Arial" w:hAnsi="Arial" w:cs="Arial"/>
          <w:sz w:val="24"/>
          <w:szCs w:val="24"/>
        </w:rPr>
      </w:pPr>
    </w:p>
    <w:p w:rsidR="00B364F9" w:rsidRPr="00DC57AC" w:rsidRDefault="00B364F9" w:rsidP="00B364F9">
      <w:pPr>
        <w:jc w:val="both"/>
        <w:rPr>
          <w:rFonts w:ascii="Arial" w:hAnsi="Arial" w:cs="Arial"/>
        </w:rPr>
      </w:pPr>
      <w:r w:rsidRPr="00DC57AC">
        <w:rPr>
          <w:rFonts w:ascii="Arial" w:hAnsi="Arial" w:cs="Arial"/>
        </w:rPr>
        <w:t>Complaints may be made:</w:t>
      </w:r>
    </w:p>
    <w:p w:rsidR="00B364F9" w:rsidRPr="00DC57AC" w:rsidRDefault="00B364F9" w:rsidP="00B364F9">
      <w:pPr>
        <w:jc w:val="both"/>
        <w:rPr>
          <w:rFonts w:ascii="Arial" w:hAnsi="Arial" w:cs="Arial"/>
        </w:rPr>
      </w:pPr>
    </w:p>
    <w:p w:rsidR="00B364F9" w:rsidRPr="00DC57AC" w:rsidRDefault="00B364F9" w:rsidP="00B364F9">
      <w:pPr>
        <w:pStyle w:val="NoSpacing"/>
        <w:numPr>
          <w:ilvl w:val="0"/>
          <w:numId w:val="8"/>
        </w:numPr>
        <w:jc w:val="both"/>
        <w:rPr>
          <w:rFonts w:ascii="Arial" w:hAnsi="Arial" w:cs="Arial"/>
          <w:sz w:val="24"/>
          <w:szCs w:val="24"/>
        </w:rPr>
      </w:pPr>
      <w:r w:rsidRPr="00DC57AC">
        <w:rPr>
          <w:rFonts w:ascii="Arial" w:hAnsi="Arial" w:cs="Arial"/>
          <w:sz w:val="24"/>
          <w:szCs w:val="24"/>
        </w:rPr>
        <w:t>Verbally</w:t>
      </w:r>
    </w:p>
    <w:p w:rsidR="00B364F9" w:rsidRPr="00DC57AC" w:rsidRDefault="00B364F9" w:rsidP="00B364F9">
      <w:pPr>
        <w:pStyle w:val="NoSpacing"/>
        <w:numPr>
          <w:ilvl w:val="0"/>
          <w:numId w:val="8"/>
        </w:numPr>
        <w:jc w:val="both"/>
        <w:rPr>
          <w:rFonts w:ascii="Arial" w:hAnsi="Arial" w:cs="Arial"/>
          <w:sz w:val="24"/>
          <w:szCs w:val="24"/>
        </w:rPr>
      </w:pPr>
      <w:r w:rsidRPr="00DC57AC">
        <w:rPr>
          <w:rFonts w:ascii="Arial" w:hAnsi="Arial" w:cs="Arial"/>
          <w:sz w:val="24"/>
          <w:szCs w:val="24"/>
        </w:rPr>
        <w:t>In writing</w:t>
      </w:r>
    </w:p>
    <w:p w:rsidR="00B364F9" w:rsidRPr="00DC57AC" w:rsidRDefault="00B364F9" w:rsidP="00B364F9">
      <w:pPr>
        <w:pStyle w:val="NoSpacing"/>
        <w:numPr>
          <w:ilvl w:val="0"/>
          <w:numId w:val="8"/>
        </w:numPr>
        <w:jc w:val="both"/>
        <w:rPr>
          <w:rFonts w:ascii="Arial" w:hAnsi="Arial" w:cs="Arial"/>
          <w:sz w:val="24"/>
          <w:szCs w:val="24"/>
        </w:rPr>
      </w:pPr>
      <w:r w:rsidRPr="00DC57AC">
        <w:rPr>
          <w:rFonts w:ascii="Arial" w:hAnsi="Arial" w:cs="Arial"/>
          <w:sz w:val="24"/>
          <w:szCs w:val="24"/>
        </w:rPr>
        <w:t>In person</w:t>
      </w:r>
    </w:p>
    <w:p w:rsidR="00B364F9" w:rsidRPr="00DC57AC" w:rsidRDefault="00B364F9" w:rsidP="00B364F9">
      <w:pPr>
        <w:pStyle w:val="NoSpacing"/>
        <w:numPr>
          <w:ilvl w:val="0"/>
          <w:numId w:val="8"/>
        </w:numPr>
        <w:jc w:val="both"/>
        <w:rPr>
          <w:rFonts w:ascii="Arial" w:hAnsi="Arial" w:cs="Arial"/>
          <w:sz w:val="24"/>
          <w:szCs w:val="24"/>
        </w:rPr>
      </w:pPr>
      <w:r w:rsidRPr="00DC57AC">
        <w:rPr>
          <w:rFonts w:ascii="Arial" w:hAnsi="Arial" w:cs="Arial"/>
          <w:sz w:val="24"/>
          <w:szCs w:val="24"/>
        </w:rPr>
        <w:t>Telephone</w:t>
      </w:r>
    </w:p>
    <w:p w:rsidR="00B364F9" w:rsidRPr="00DC57AC" w:rsidRDefault="00B364F9" w:rsidP="00B364F9">
      <w:pPr>
        <w:pStyle w:val="NoSpacing"/>
        <w:jc w:val="both"/>
        <w:rPr>
          <w:rFonts w:ascii="Arial" w:hAnsi="Arial" w:cs="Arial"/>
          <w:sz w:val="24"/>
          <w:szCs w:val="24"/>
        </w:rPr>
      </w:pP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Complaints may be made at any time and to any member of staff e.g. receptionist, nursing staff or GP.  In many cases, complaints are made informally and frontline staff should resolve the complaint in the first instance if possible or pass it to the </w:t>
      </w:r>
      <w:r w:rsidR="00DC57AC">
        <w:rPr>
          <w:rFonts w:ascii="Arial" w:hAnsi="Arial" w:cs="Arial"/>
          <w:sz w:val="24"/>
          <w:szCs w:val="24"/>
        </w:rPr>
        <w:t>Management Assistant</w:t>
      </w:r>
      <w:r w:rsidRPr="00DC57AC">
        <w:rPr>
          <w:rFonts w:ascii="Arial" w:hAnsi="Arial" w:cs="Arial"/>
          <w:sz w:val="24"/>
          <w:szCs w:val="24"/>
        </w:rPr>
        <w:t xml:space="preserve">/Practice Manager.  </w:t>
      </w:r>
    </w:p>
    <w:p w:rsidR="00B364F9" w:rsidRDefault="00B364F9" w:rsidP="00B364F9">
      <w:pPr>
        <w:pStyle w:val="NoSpacing"/>
        <w:jc w:val="both"/>
        <w:rPr>
          <w:rFonts w:ascii="Arial" w:hAnsi="Arial" w:cs="Arial"/>
          <w:sz w:val="24"/>
          <w:szCs w:val="24"/>
        </w:rPr>
      </w:pPr>
    </w:p>
    <w:p w:rsidR="00DC57AC" w:rsidRDefault="00DC57AC" w:rsidP="00B364F9">
      <w:pPr>
        <w:pStyle w:val="NoSpacing"/>
        <w:jc w:val="both"/>
        <w:rPr>
          <w:rFonts w:ascii="Arial" w:hAnsi="Arial" w:cs="Arial"/>
          <w:sz w:val="24"/>
          <w:szCs w:val="24"/>
        </w:rPr>
      </w:pPr>
    </w:p>
    <w:p w:rsidR="00DC57AC" w:rsidRPr="00DC57AC" w:rsidRDefault="00DC57AC" w:rsidP="00B364F9">
      <w:pPr>
        <w:pStyle w:val="NoSpacing"/>
        <w:jc w:val="both"/>
        <w:rPr>
          <w:rFonts w:ascii="Arial" w:hAnsi="Arial" w:cs="Arial"/>
          <w:sz w:val="24"/>
          <w:szCs w:val="24"/>
        </w:rPr>
      </w:pPr>
    </w:p>
    <w:p w:rsidR="00B364F9" w:rsidRPr="00DC57AC" w:rsidRDefault="00B364F9" w:rsidP="00B364F9">
      <w:pPr>
        <w:pStyle w:val="NoSpacing"/>
        <w:jc w:val="both"/>
        <w:rPr>
          <w:rFonts w:ascii="Arial" w:hAnsi="Arial" w:cs="Arial"/>
          <w:sz w:val="24"/>
          <w:szCs w:val="24"/>
        </w:rPr>
      </w:pP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lastRenderedPageBreak/>
        <w:t>Complaints are managed in two Stages:</w:t>
      </w:r>
    </w:p>
    <w:p w:rsidR="00B364F9" w:rsidRPr="00DC57AC" w:rsidRDefault="00B364F9" w:rsidP="00B364F9">
      <w:pPr>
        <w:spacing w:line="276" w:lineRule="auto"/>
        <w:rPr>
          <w:rFonts w:ascii="Arial" w:hAnsi="Arial" w:cs="Arial"/>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Stage One – Frontline Response</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9"/>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Focuses on local, early resolution at the point of service delivery.</w:t>
      </w:r>
    </w:p>
    <w:p w:rsidR="00B364F9" w:rsidRPr="00DC57AC" w:rsidRDefault="00B364F9" w:rsidP="00B364F9">
      <w:pPr>
        <w:numPr>
          <w:ilvl w:val="0"/>
          <w:numId w:val="9"/>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Managed by staff or line managers closest to the issue.</w:t>
      </w:r>
    </w:p>
    <w:p w:rsidR="00B364F9" w:rsidRPr="00DC57AC" w:rsidRDefault="00B364F9" w:rsidP="00B364F9">
      <w:pPr>
        <w:numPr>
          <w:ilvl w:val="0"/>
          <w:numId w:val="9"/>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Aims to resolve the concern within 5 working days.</w:t>
      </w:r>
    </w:p>
    <w:p w:rsidR="00B364F9" w:rsidRPr="00DC57AC" w:rsidRDefault="00B364F9" w:rsidP="00B364F9">
      <w:pPr>
        <w:numPr>
          <w:ilvl w:val="0"/>
          <w:numId w:val="9"/>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The complainant will be informed of the outcome and any actions taken.</w:t>
      </w:r>
    </w:p>
    <w:p w:rsidR="00B364F9" w:rsidRPr="00DC57AC" w:rsidRDefault="00B364F9" w:rsidP="00B364F9">
      <w:pPr>
        <w:numPr>
          <w:ilvl w:val="0"/>
          <w:numId w:val="9"/>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If unresolved or the complainant remains dissatisfied, the complaint progresses to Stage Two.</w:t>
      </w:r>
    </w:p>
    <w:p w:rsidR="00B364F9" w:rsidRPr="00DC57AC" w:rsidRDefault="00B364F9" w:rsidP="00B364F9">
      <w:pPr>
        <w:spacing w:after="160" w:line="276" w:lineRule="auto"/>
        <w:contextualSpacing/>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Stage Two – Full Investigation</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0"/>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A comprehensive and objective investigation will be undertaken.</w:t>
      </w:r>
    </w:p>
    <w:p w:rsidR="00B364F9" w:rsidRPr="00DC57AC" w:rsidRDefault="00B364F9" w:rsidP="00B364F9">
      <w:pPr>
        <w:numPr>
          <w:ilvl w:val="0"/>
          <w:numId w:val="10"/>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A full written response within 20 working days will normally be provided.</w:t>
      </w:r>
    </w:p>
    <w:p w:rsidR="00B364F9" w:rsidRPr="00DC57AC" w:rsidRDefault="00B364F9" w:rsidP="00B364F9">
      <w:pPr>
        <w:numPr>
          <w:ilvl w:val="0"/>
          <w:numId w:val="10"/>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If this is not achievable, the complainant will receive:</w:t>
      </w:r>
    </w:p>
    <w:p w:rsidR="00B364F9" w:rsidRPr="00DC57AC" w:rsidRDefault="00B364F9" w:rsidP="00B364F9">
      <w:pPr>
        <w:numPr>
          <w:ilvl w:val="0"/>
          <w:numId w:val="10"/>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An explanation for the delay, and</w:t>
      </w:r>
    </w:p>
    <w:p w:rsidR="00B364F9" w:rsidRPr="00DC57AC" w:rsidRDefault="00B364F9" w:rsidP="00B364F9">
      <w:pPr>
        <w:numPr>
          <w:ilvl w:val="0"/>
          <w:numId w:val="10"/>
        </w:numPr>
        <w:spacing w:after="160" w:line="276" w:lineRule="auto"/>
        <w:contextualSpacing/>
        <w:rPr>
          <w:rFonts w:ascii="Arial" w:eastAsia="Arial" w:hAnsi="Arial" w:cs="Arial"/>
          <w:color w:val="252525"/>
          <w:lang w:eastAsia="en-GB"/>
        </w:rPr>
      </w:pPr>
      <w:r w:rsidRPr="00DC57AC">
        <w:rPr>
          <w:rFonts w:ascii="Arial" w:eastAsia="Arial" w:hAnsi="Arial" w:cs="Arial"/>
          <w:color w:val="252525"/>
          <w:lang w:eastAsia="en-GB"/>
        </w:rPr>
        <w:t>A revised response date.</w:t>
      </w:r>
    </w:p>
    <w:p w:rsidR="00B364F9" w:rsidRPr="00DC57AC" w:rsidRDefault="00B364F9" w:rsidP="00B364F9">
      <w:pPr>
        <w:spacing w:after="160" w:line="276" w:lineRule="auto"/>
        <w:contextualSpacing/>
        <w:rPr>
          <w:rFonts w:ascii="Arial" w:eastAsia="Arial" w:hAnsi="Arial" w:cs="Arial"/>
          <w:color w:val="252525"/>
          <w:lang w:eastAsia="en-GB"/>
        </w:rPr>
      </w:pPr>
    </w:p>
    <w:p w:rsidR="00B364F9" w:rsidRPr="00DC57AC" w:rsidRDefault="00B364F9" w:rsidP="00B364F9">
      <w:pPr>
        <w:spacing w:after="160" w:line="276" w:lineRule="auto"/>
        <w:contextualSpacing/>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8. Consent and Confidentiality</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Valid consent is normally required where complaints are made on behalf of a service user.</w:t>
      </w: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Consent may be written, verbal (recorded), or provided via legal authority. Where capacity is lacking, decisions will follow best-interest principles and legal guidance.</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Information sharing will comply with confidentiality and data protection law.</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Theme="minorEastAsia" w:hAnsi="Arial" w:cs="Arial"/>
          <w:lang w:eastAsia="en-GB"/>
        </w:rPr>
      </w:pPr>
      <w:r w:rsidRPr="00DC57AC">
        <w:rPr>
          <w:rFonts w:ascii="Arial" w:eastAsia="Arial" w:hAnsi="Arial" w:cs="Arial"/>
          <w:color w:val="252525"/>
          <w:lang w:eastAsia="en-GB"/>
        </w:rPr>
        <w:t>Where consent cannot be obtained, a general response may still be provided without breaching confidentiality.</w:t>
      </w:r>
    </w:p>
    <w:p w:rsidR="00B364F9" w:rsidRPr="00DC57AC" w:rsidRDefault="00B364F9" w:rsidP="00B364F9">
      <w:pPr>
        <w:spacing w:line="276" w:lineRule="auto"/>
        <w:rPr>
          <w:rFonts w:ascii="Arial" w:hAnsi="Arial" w:cs="Arial"/>
        </w:rPr>
      </w:pPr>
    </w:p>
    <w:p w:rsidR="00B364F9" w:rsidRPr="00DC57AC" w:rsidRDefault="00B364F9" w:rsidP="00B364F9">
      <w:pPr>
        <w:rPr>
          <w:rFonts w:ascii="Arial" w:eastAsia="Arial" w:hAnsi="Arial" w:cs="Arial"/>
          <w:b/>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9. Resolution at Any Stage</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A complaint may be resolved at any stage where an appropriate and mutually acceptable outcome is achieved.</w:t>
      </w:r>
    </w:p>
    <w:p w:rsidR="00B364F9" w:rsidRPr="00DC57AC" w:rsidRDefault="00B364F9" w:rsidP="00B364F9">
      <w:pPr>
        <w:spacing w:after="160"/>
        <w:contextualSpacing/>
        <w:rPr>
          <w:rFonts w:ascii="Arial" w:eastAsia="Arial" w:hAnsi="Arial" w:cs="Arial"/>
          <w:color w:val="252525"/>
          <w:lang w:eastAsia="en-GB"/>
        </w:rPr>
      </w:pPr>
    </w:p>
    <w:p w:rsidR="00B364F9" w:rsidRPr="00DC57AC" w:rsidRDefault="00B364F9" w:rsidP="00B364F9">
      <w:pPr>
        <w:spacing w:after="160"/>
        <w:contextualSpacing/>
        <w:rPr>
          <w:rFonts w:ascii="Arial" w:eastAsia="Arial" w:hAnsi="Arial" w:cs="Arial"/>
          <w:color w:val="252525"/>
          <w:lang w:eastAsia="en-GB"/>
        </w:rPr>
      </w:pPr>
    </w:p>
    <w:p w:rsidR="00B364F9" w:rsidRPr="00DC57AC" w:rsidRDefault="00B364F9" w:rsidP="00B364F9">
      <w:pPr>
        <w:rPr>
          <w:rFonts w:ascii="Arial" w:eastAsiaTheme="minorEastAsia" w:hAnsi="Arial" w:cs="Arial"/>
          <w:b/>
          <w:lang w:eastAsia="en-GB"/>
        </w:rPr>
      </w:pPr>
      <w:r w:rsidRPr="00DC57AC">
        <w:rPr>
          <w:rFonts w:ascii="Arial" w:eastAsia="Arial" w:hAnsi="Arial" w:cs="Arial"/>
          <w:b/>
          <w:color w:val="252525"/>
          <w:lang w:eastAsia="en-GB"/>
        </w:rPr>
        <w:t>10. Recording, Monitoring and Governance</w:t>
      </w: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The organisation will:</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2"/>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Securely record and manage all complaints.</w:t>
      </w:r>
    </w:p>
    <w:p w:rsidR="00B364F9" w:rsidRPr="00DC57AC" w:rsidRDefault="00B364F9" w:rsidP="00B364F9">
      <w:pPr>
        <w:numPr>
          <w:ilvl w:val="0"/>
          <w:numId w:val="12"/>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Analyse themes, trends, and risks.</w:t>
      </w:r>
    </w:p>
    <w:p w:rsidR="00B364F9" w:rsidRPr="00DC57AC" w:rsidRDefault="00B364F9" w:rsidP="00B364F9">
      <w:pPr>
        <w:numPr>
          <w:ilvl w:val="0"/>
          <w:numId w:val="12"/>
        </w:numPr>
        <w:spacing w:after="160" w:line="276" w:lineRule="auto"/>
        <w:contextualSpacing/>
        <w:rPr>
          <w:rFonts w:ascii="Arial" w:eastAsiaTheme="minorEastAsia" w:hAnsi="Arial" w:cs="Arial"/>
          <w:lang w:eastAsia="en-GB"/>
        </w:rPr>
      </w:pPr>
      <w:r w:rsidRPr="00DC57AC">
        <w:rPr>
          <w:rFonts w:ascii="Arial" w:eastAsia="Arial" w:hAnsi="Arial" w:cs="Arial"/>
          <w:color w:val="252525"/>
          <w:lang w:eastAsia="en-GB"/>
        </w:rPr>
        <w:t>Report learning through governance and assurance structures.</w:t>
      </w:r>
    </w:p>
    <w:p w:rsidR="00B364F9" w:rsidRPr="00DC57AC" w:rsidRDefault="00B364F9" w:rsidP="00B364F9">
      <w:pPr>
        <w:spacing w:after="160" w:line="276" w:lineRule="auto"/>
        <w:contextualSpacing/>
        <w:rPr>
          <w:rFonts w:ascii="Arial" w:eastAsiaTheme="minorEastAsia" w:hAnsi="Arial" w:cs="Arial"/>
          <w:lang w:eastAsia="en-GB"/>
        </w:rPr>
      </w:pPr>
    </w:p>
    <w:p w:rsidR="00B364F9" w:rsidRDefault="00B364F9" w:rsidP="00B364F9">
      <w:pPr>
        <w:spacing w:after="160" w:line="276" w:lineRule="auto"/>
        <w:contextualSpacing/>
        <w:rPr>
          <w:rFonts w:ascii="Arial" w:eastAsia="Arial" w:hAnsi="Arial" w:cs="Arial"/>
          <w:color w:val="252525"/>
          <w:lang w:eastAsia="en-GB"/>
        </w:rPr>
      </w:pPr>
    </w:p>
    <w:p w:rsidR="00DC57AC" w:rsidRDefault="00DC57AC" w:rsidP="00B364F9">
      <w:pPr>
        <w:spacing w:after="160" w:line="276" w:lineRule="auto"/>
        <w:contextualSpacing/>
        <w:rPr>
          <w:rFonts w:ascii="Arial" w:eastAsia="Arial" w:hAnsi="Arial" w:cs="Arial"/>
          <w:color w:val="252525"/>
          <w:lang w:eastAsia="en-GB"/>
        </w:rPr>
      </w:pPr>
    </w:p>
    <w:p w:rsidR="00DC57AC" w:rsidRPr="00DC57AC" w:rsidRDefault="00DC57AC" w:rsidP="00B364F9">
      <w:pPr>
        <w:spacing w:after="160" w:line="276" w:lineRule="auto"/>
        <w:contextualSpacing/>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lastRenderedPageBreak/>
        <w:t>11. Learning and Service Improvement</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Where a complaint identify service deficits:</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3"/>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Corrective and preventive actions will be implemented.</w:t>
      </w:r>
    </w:p>
    <w:p w:rsidR="00B364F9" w:rsidRPr="00DC57AC" w:rsidRDefault="00B364F9" w:rsidP="00B364F9">
      <w:pPr>
        <w:numPr>
          <w:ilvl w:val="0"/>
          <w:numId w:val="13"/>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Staff learning or supervision will be provided.</w:t>
      </w:r>
    </w:p>
    <w:p w:rsidR="00B364F9" w:rsidRPr="00DC57AC" w:rsidRDefault="00B364F9" w:rsidP="00B364F9">
      <w:pPr>
        <w:numPr>
          <w:ilvl w:val="0"/>
          <w:numId w:val="13"/>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Policies and risk controls will be reviewed.</w:t>
      </w:r>
    </w:p>
    <w:p w:rsidR="00B364F9" w:rsidRPr="00DC57AC" w:rsidRDefault="00B364F9" w:rsidP="00B364F9">
      <w:pPr>
        <w:numPr>
          <w:ilvl w:val="0"/>
          <w:numId w:val="13"/>
        </w:numPr>
        <w:spacing w:after="160" w:line="360" w:lineRule="auto"/>
        <w:contextualSpacing/>
        <w:rPr>
          <w:rFonts w:ascii="Arial" w:eastAsia="Arial" w:hAnsi="Arial" w:cs="Arial"/>
          <w:color w:val="252525"/>
          <w:lang w:eastAsia="en-GB"/>
        </w:rPr>
      </w:pPr>
      <w:r w:rsidRPr="00DC57AC">
        <w:rPr>
          <w:rFonts w:ascii="Arial" w:eastAsia="Arial" w:hAnsi="Arial" w:cs="Arial"/>
          <w:color w:val="252525"/>
          <w:lang w:eastAsia="en-GB"/>
        </w:rPr>
        <w:t>Improvements will be monitored through governance processes.</w:t>
      </w:r>
    </w:p>
    <w:p w:rsidR="00B364F9" w:rsidRPr="00DC57AC" w:rsidRDefault="00B364F9" w:rsidP="00B364F9">
      <w:pPr>
        <w:spacing w:after="160"/>
        <w:contextualSpacing/>
        <w:rPr>
          <w:rFonts w:ascii="Arial" w:eastAsia="Arial" w:hAnsi="Arial" w:cs="Arial"/>
          <w:color w:val="252525"/>
          <w:lang w:eastAsia="en-GB"/>
        </w:rPr>
      </w:pP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12. Advocacy and Support for Complainants</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Theme="minorEastAsia" w:hAnsi="Arial" w:cs="Arial"/>
          <w:lang w:eastAsia="en-GB"/>
        </w:rPr>
      </w:pPr>
      <w:r w:rsidRPr="00DC57AC">
        <w:rPr>
          <w:rFonts w:ascii="Arial" w:eastAsia="Arial" w:hAnsi="Arial" w:cs="Arial"/>
          <w:color w:val="252525"/>
          <w:lang w:eastAsia="en-GB"/>
        </w:rPr>
        <w:t>Independent advice and advocacy are available to complainants.  These services can:</w:t>
      </w:r>
    </w:p>
    <w:p w:rsidR="00B364F9" w:rsidRPr="00DC57AC" w:rsidRDefault="00B364F9" w:rsidP="00B364F9">
      <w:pPr>
        <w:rPr>
          <w:rFonts w:ascii="Arial" w:eastAsia="Arial" w:hAnsi="Arial" w:cs="Arial"/>
          <w:color w:val="252525"/>
          <w:lang w:eastAsia="en-GB"/>
        </w:rPr>
      </w:pPr>
    </w:p>
    <w:p w:rsidR="00B364F9" w:rsidRPr="00DC57AC" w:rsidRDefault="00B364F9" w:rsidP="00B364F9">
      <w:pPr>
        <w:numPr>
          <w:ilvl w:val="0"/>
          <w:numId w:val="15"/>
        </w:numPr>
        <w:spacing w:after="160" w:line="360" w:lineRule="auto"/>
        <w:contextualSpacing/>
        <w:rPr>
          <w:rFonts w:ascii="Arial" w:eastAsia="Arial" w:hAnsi="Arial" w:cs="Arial"/>
          <w:color w:val="252525"/>
          <w:lang w:eastAsia="en-GB"/>
        </w:rPr>
      </w:pPr>
      <w:r w:rsidRPr="00DC57AC">
        <w:rPr>
          <w:rFonts w:ascii="Arial" w:eastAsia="Arial" w:hAnsi="Arial" w:cs="Arial"/>
          <w:color w:val="252525"/>
          <w:lang w:eastAsia="en-GB"/>
        </w:rPr>
        <w:t>Provide guidance on making or pursuing a complaint.</w:t>
      </w:r>
    </w:p>
    <w:p w:rsidR="00B364F9" w:rsidRPr="00DC57AC" w:rsidRDefault="00B364F9" w:rsidP="00B364F9">
      <w:pPr>
        <w:numPr>
          <w:ilvl w:val="0"/>
          <w:numId w:val="15"/>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Offer independent advocacy support.</w:t>
      </w:r>
    </w:p>
    <w:p w:rsidR="00B364F9" w:rsidRPr="00DC57AC" w:rsidRDefault="00B364F9" w:rsidP="00B364F9">
      <w:pPr>
        <w:numPr>
          <w:ilvl w:val="0"/>
          <w:numId w:val="15"/>
        </w:numPr>
        <w:spacing w:after="160" w:line="360" w:lineRule="auto"/>
        <w:contextualSpacing/>
        <w:rPr>
          <w:rFonts w:ascii="Arial" w:eastAsia="Arial" w:hAnsi="Arial" w:cs="Arial"/>
          <w:color w:val="252525"/>
          <w:lang w:eastAsia="en-GB"/>
        </w:rPr>
      </w:pPr>
      <w:r w:rsidRPr="00DC57AC">
        <w:rPr>
          <w:rFonts w:ascii="Arial" w:eastAsia="Arial" w:hAnsi="Arial" w:cs="Arial"/>
          <w:color w:val="252525"/>
          <w:lang w:eastAsia="en-GB"/>
        </w:rPr>
        <w:t>Help interpret responses and next steps.</w:t>
      </w:r>
    </w:p>
    <w:p w:rsidR="00B364F9" w:rsidRPr="00DC57AC" w:rsidRDefault="00B364F9" w:rsidP="00B364F9">
      <w:pPr>
        <w:spacing w:after="160" w:line="360" w:lineRule="auto"/>
        <w:contextualSpacing/>
        <w:rPr>
          <w:rFonts w:ascii="Arial" w:eastAsia="Arial" w:hAnsi="Arial" w:cs="Arial"/>
          <w:color w:val="252525"/>
          <w:lang w:eastAsia="en-GB"/>
        </w:rPr>
      </w:pPr>
    </w:p>
    <w:p w:rsidR="00B364F9" w:rsidRPr="00DC57AC" w:rsidRDefault="00B364F9" w:rsidP="00B364F9">
      <w:pPr>
        <w:spacing w:after="160" w:line="360" w:lineRule="auto"/>
        <w:contextualSpacing/>
        <w:rPr>
          <w:rFonts w:ascii="Arial" w:eastAsia="Arial" w:hAnsi="Arial" w:cs="Arial"/>
          <w:color w:val="252525"/>
          <w:lang w:eastAsia="en-GB"/>
        </w:rPr>
      </w:pPr>
      <w:r w:rsidRPr="00DC57AC">
        <w:rPr>
          <w:rFonts w:ascii="Arial" w:eastAsia="Arial" w:hAnsi="Arial" w:cs="Arial"/>
          <w:color w:val="252525"/>
          <w:lang w:eastAsia="en-GB"/>
        </w:rPr>
        <w:t>Assistance if available from:</w:t>
      </w:r>
    </w:p>
    <w:p w:rsidR="00B364F9" w:rsidRPr="00DC57AC" w:rsidRDefault="00B364F9" w:rsidP="00B364F9">
      <w:pPr>
        <w:pStyle w:val="NoSpacing"/>
        <w:jc w:val="both"/>
        <w:rPr>
          <w:rFonts w:ascii="Arial" w:hAnsi="Arial" w:cs="Arial"/>
          <w:b/>
          <w:sz w:val="24"/>
          <w:szCs w:val="24"/>
        </w:rPr>
      </w:pPr>
      <w:r w:rsidRPr="00DC57AC">
        <w:rPr>
          <w:rFonts w:ascii="Arial" w:hAnsi="Arial" w:cs="Arial"/>
          <w:b/>
          <w:sz w:val="24"/>
          <w:szCs w:val="24"/>
        </w:rPr>
        <w:t xml:space="preserve">Health &amp; Social Care Board – Honest Broker </w:t>
      </w:r>
    </w:p>
    <w:p w:rsidR="00B364F9" w:rsidRPr="00DC57AC" w:rsidRDefault="00B364F9" w:rsidP="00B364F9">
      <w:pPr>
        <w:pStyle w:val="NoSpacing"/>
        <w:jc w:val="both"/>
        <w:rPr>
          <w:rFonts w:ascii="Arial" w:hAnsi="Arial" w:cs="Arial"/>
          <w:sz w:val="24"/>
          <w:szCs w:val="24"/>
        </w:rPr>
      </w:pPr>
    </w:p>
    <w:p w:rsidR="00B364F9" w:rsidRPr="00DC57AC" w:rsidRDefault="00B364F9" w:rsidP="00B364F9">
      <w:pPr>
        <w:jc w:val="both"/>
        <w:rPr>
          <w:rFonts w:ascii="Arial" w:hAnsi="Arial" w:cs="Arial"/>
        </w:rPr>
      </w:pPr>
      <w:r w:rsidRPr="00DC57AC">
        <w:rPr>
          <w:rFonts w:ascii="Arial" w:hAnsi="Arial" w:cs="Arial"/>
        </w:rPr>
        <w:t xml:space="preserve">The Complaints Department can act as an intermediary and help in the resolution of a complaint. </w:t>
      </w:r>
    </w:p>
    <w:p w:rsidR="00B364F9" w:rsidRPr="00DC57AC" w:rsidRDefault="00B364F9" w:rsidP="00B364F9">
      <w:pPr>
        <w:jc w:val="both"/>
        <w:rPr>
          <w:rFonts w:ascii="Arial" w:hAnsi="Arial" w:cs="Arial"/>
        </w:rPr>
      </w:pPr>
    </w:p>
    <w:p w:rsidR="00B364F9" w:rsidRPr="00DC57AC" w:rsidRDefault="00B364F9" w:rsidP="00B364F9">
      <w:pPr>
        <w:jc w:val="both"/>
        <w:rPr>
          <w:rFonts w:ascii="Arial" w:hAnsi="Arial" w:cs="Arial"/>
        </w:rPr>
      </w:pPr>
      <w:r w:rsidRPr="00DC57AC">
        <w:rPr>
          <w:rFonts w:ascii="Arial" w:hAnsi="Arial" w:cs="Arial"/>
        </w:rPr>
        <w:t>Complaints Office</w:t>
      </w:r>
    </w:p>
    <w:p w:rsidR="00B364F9" w:rsidRPr="00DC57AC" w:rsidRDefault="00B364F9" w:rsidP="00B364F9">
      <w:pPr>
        <w:jc w:val="both"/>
        <w:rPr>
          <w:rFonts w:ascii="Arial" w:hAnsi="Arial" w:cs="Arial"/>
        </w:rPr>
      </w:pPr>
      <w:r w:rsidRPr="00DC57AC">
        <w:rPr>
          <w:rFonts w:ascii="Arial" w:hAnsi="Arial" w:cs="Arial"/>
        </w:rPr>
        <w:t>Department of Health Strategic Planning and Performance Group</w:t>
      </w:r>
    </w:p>
    <w:p w:rsidR="00B364F9" w:rsidRPr="00DC57AC" w:rsidRDefault="00B364F9" w:rsidP="00B364F9">
      <w:pPr>
        <w:jc w:val="both"/>
        <w:rPr>
          <w:rFonts w:ascii="Arial" w:hAnsi="Arial" w:cs="Arial"/>
        </w:rPr>
      </w:pPr>
      <w:r w:rsidRPr="00DC57AC">
        <w:rPr>
          <w:rFonts w:ascii="Arial" w:hAnsi="Arial" w:cs="Arial"/>
        </w:rPr>
        <w:t>12-22 Linenhall Street</w:t>
      </w:r>
    </w:p>
    <w:p w:rsidR="00B364F9" w:rsidRPr="00DC57AC" w:rsidRDefault="00B364F9" w:rsidP="00B364F9">
      <w:pPr>
        <w:jc w:val="both"/>
        <w:rPr>
          <w:rFonts w:ascii="Arial" w:hAnsi="Arial" w:cs="Arial"/>
        </w:rPr>
      </w:pPr>
      <w:r w:rsidRPr="00DC57AC">
        <w:rPr>
          <w:rFonts w:ascii="Arial" w:hAnsi="Arial" w:cs="Arial"/>
        </w:rPr>
        <w:t>Belfast</w:t>
      </w:r>
    </w:p>
    <w:p w:rsidR="00B364F9" w:rsidRPr="00DC57AC" w:rsidRDefault="00B364F9" w:rsidP="00B364F9">
      <w:pPr>
        <w:jc w:val="both"/>
        <w:rPr>
          <w:rFonts w:ascii="Arial" w:hAnsi="Arial" w:cs="Arial"/>
        </w:rPr>
      </w:pPr>
      <w:r w:rsidRPr="00DC57AC">
        <w:rPr>
          <w:rFonts w:ascii="Arial" w:hAnsi="Arial" w:cs="Arial"/>
        </w:rPr>
        <w:t>BT2 8BS</w:t>
      </w:r>
    </w:p>
    <w:p w:rsidR="00B364F9" w:rsidRPr="00DC57AC" w:rsidRDefault="00B364F9" w:rsidP="00B364F9">
      <w:pPr>
        <w:jc w:val="both"/>
        <w:rPr>
          <w:rFonts w:ascii="Arial" w:hAnsi="Arial" w:cs="Arial"/>
        </w:rPr>
      </w:pPr>
      <w:r w:rsidRPr="00DC57AC">
        <w:rPr>
          <w:rFonts w:ascii="Arial" w:hAnsi="Arial" w:cs="Arial"/>
        </w:rPr>
        <w:t>Tel: 02895363893</w:t>
      </w:r>
    </w:p>
    <w:p w:rsidR="00B364F9" w:rsidRPr="00DC57AC" w:rsidRDefault="00B364F9" w:rsidP="00B364F9">
      <w:pPr>
        <w:jc w:val="both"/>
        <w:rPr>
          <w:rFonts w:ascii="Arial" w:hAnsi="Arial" w:cs="Arial"/>
        </w:rPr>
      </w:pPr>
      <w:r w:rsidRPr="00DC57AC">
        <w:rPr>
          <w:rFonts w:ascii="Arial" w:hAnsi="Arial" w:cs="Arial"/>
        </w:rPr>
        <w:t>Email: complaints.sppg@hscni.net</w:t>
      </w:r>
    </w:p>
    <w:p w:rsidR="00B364F9" w:rsidRPr="00DC57AC" w:rsidRDefault="00B364F9" w:rsidP="00B364F9">
      <w:pPr>
        <w:jc w:val="both"/>
        <w:rPr>
          <w:rFonts w:ascii="Arial" w:hAnsi="Arial" w:cs="Arial"/>
        </w:rPr>
      </w:pPr>
      <w:r w:rsidRPr="00DC57AC">
        <w:rPr>
          <w:rFonts w:ascii="Arial" w:hAnsi="Arial" w:cs="Arial"/>
        </w:rPr>
        <w:t>Website:  Health and Social Care Online (https://www.nidirect.gov.uk//online.hscni.net/)</w:t>
      </w:r>
    </w:p>
    <w:p w:rsidR="00B364F9" w:rsidRPr="00DC57AC" w:rsidRDefault="00B364F9" w:rsidP="00B364F9">
      <w:pPr>
        <w:spacing w:after="160" w:line="360" w:lineRule="auto"/>
        <w:contextualSpacing/>
        <w:rPr>
          <w:rFonts w:ascii="Arial" w:eastAsia="Arial" w:hAnsi="Arial" w:cs="Arial"/>
          <w:color w:val="252525"/>
          <w:lang w:eastAsia="en-GB"/>
        </w:rPr>
      </w:pPr>
    </w:p>
    <w:p w:rsidR="00B364F9" w:rsidRPr="00DC57AC" w:rsidRDefault="00B364F9" w:rsidP="00B364F9">
      <w:pPr>
        <w:pStyle w:val="NoSpacing"/>
        <w:jc w:val="both"/>
        <w:rPr>
          <w:rFonts w:ascii="Arial" w:hAnsi="Arial" w:cs="Arial"/>
          <w:b/>
          <w:sz w:val="24"/>
          <w:szCs w:val="24"/>
        </w:rPr>
      </w:pPr>
      <w:r w:rsidRPr="00DC57AC">
        <w:rPr>
          <w:rFonts w:ascii="Arial" w:hAnsi="Arial" w:cs="Arial"/>
          <w:b/>
          <w:sz w:val="24"/>
          <w:szCs w:val="24"/>
        </w:rPr>
        <w:t>Advocacy</w:t>
      </w:r>
    </w:p>
    <w:p w:rsidR="00B364F9" w:rsidRPr="00DC57AC" w:rsidRDefault="00B364F9" w:rsidP="00B364F9">
      <w:pPr>
        <w:pStyle w:val="NoSpacing"/>
        <w:jc w:val="both"/>
        <w:rPr>
          <w:rFonts w:ascii="Arial" w:hAnsi="Arial" w:cs="Arial"/>
          <w:sz w:val="24"/>
          <w:szCs w:val="24"/>
        </w:rPr>
      </w:pPr>
    </w:p>
    <w:p w:rsidR="00B364F9" w:rsidRPr="00DC57AC" w:rsidRDefault="00B364F9" w:rsidP="00B364F9">
      <w:pPr>
        <w:jc w:val="both"/>
        <w:rPr>
          <w:rFonts w:ascii="Arial" w:hAnsi="Arial" w:cs="Arial"/>
        </w:rPr>
      </w:pPr>
      <w:r w:rsidRPr="00DC57AC">
        <w:rPr>
          <w:rFonts w:ascii="Arial" w:hAnsi="Arial" w:cs="Arial"/>
        </w:rPr>
        <w:t xml:space="preserve">Complainants may also wish to contact the patient and client council, which can provide free and confidential advice, information and help them to make a complaint.  </w:t>
      </w:r>
    </w:p>
    <w:p w:rsidR="00B364F9" w:rsidRPr="00DC57AC" w:rsidRDefault="00B364F9" w:rsidP="00B364F9">
      <w:pPr>
        <w:pStyle w:val="NoSpacing"/>
        <w:jc w:val="both"/>
        <w:rPr>
          <w:rFonts w:ascii="Arial" w:hAnsi="Arial" w:cs="Arial"/>
          <w:sz w:val="24"/>
          <w:szCs w:val="24"/>
        </w:rPr>
      </w:pP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Patient Client Council</w:t>
      </w:r>
    </w:p>
    <w:p w:rsidR="00B364F9" w:rsidRPr="00DC57AC" w:rsidRDefault="00B364F9" w:rsidP="00B364F9">
      <w:pPr>
        <w:pStyle w:val="NoSpacing"/>
        <w:rPr>
          <w:rFonts w:ascii="Arial" w:hAnsi="Arial" w:cs="Arial"/>
          <w:sz w:val="24"/>
          <w:szCs w:val="24"/>
        </w:rPr>
      </w:pPr>
      <w:r w:rsidRPr="00DC57AC">
        <w:rPr>
          <w:rFonts w:ascii="Arial" w:hAnsi="Arial" w:cs="Arial"/>
          <w:sz w:val="24"/>
          <w:szCs w:val="24"/>
        </w:rPr>
        <w:t>2</w:t>
      </w:r>
      <w:r w:rsidRPr="00DC57AC">
        <w:rPr>
          <w:rFonts w:ascii="Arial" w:hAnsi="Arial" w:cs="Arial"/>
          <w:sz w:val="24"/>
          <w:szCs w:val="24"/>
          <w:vertAlign w:val="superscript"/>
        </w:rPr>
        <w:t>nd</w:t>
      </w:r>
      <w:r w:rsidRPr="00DC57AC">
        <w:rPr>
          <w:rFonts w:ascii="Arial" w:hAnsi="Arial" w:cs="Arial"/>
          <w:sz w:val="24"/>
          <w:szCs w:val="24"/>
        </w:rPr>
        <w:t xml:space="preserve"> Floor, Central House</w:t>
      </w:r>
    </w:p>
    <w:p w:rsidR="00B364F9" w:rsidRPr="00DC57AC" w:rsidRDefault="00B364F9" w:rsidP="00B364F9">
      <w:pPr>
        <w:pStyle w:val="NoSpacing"/>
        <w:rPr>
          <w:rFonts w:ascii="Arial" w:hAnsi="Arial" w:cs="Arial"/>
          <w:sz w:val="24"/>
          <w:szCs w:val="24"/>
        </w:rPr>
      </w:pPr>
      <w:r w:rsidRPr="00DC57AC">
        <w:rPr>
          <w:rFonts w:ascii="Arial" w:hAnsi="Arial" w:cs="Arial"/>
          <w:sz w:val="24"/>
          <w:szCs w:val="24"/>
        </w:rPr>
        <w:t>79 Chichester Street</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Belfast </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BT1 4JE</w:t>
      </w:r>
    </w:p>
    <w:p w:rsidR="00B364F9" w:rsidRPr="00DC57AC" w:rsidRDefault="00B364F9" w:rsidP="00B364F9">
      <w:pPr>
        <w:pStyle w:val="NoSpacing"/>
        <w:tabs>
          <w:tab w:val="left" w:pos="1095"/>
        </w:tabs>
        <w:jc w:val="both"/>
        <w:rPr>
          <w:rFonts w:ascii="Arial" w:hAnsi="Arial" w:cs="Arial"/>
          <w:sz w:val="24"/>
          <w:szCs w:val="24"/>
        </w:rPr>
      </w:pPr>
      <w:r w:rsidRPr="00DC57AC">
        <w:rPr>
          <w:rFonts w:ascii="Arial" w:hAnsi="Arial" w:cs="Arial"/>
          <w:sz w:val="24"/>
          <w:szCs w:val="24"/>
        </w:rPr>
        <w:tab/>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Tel: 0800 917 0222</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Web: </w:t>
      </w:r>
      <w:hyperlink r:id="rId6" w:history="1">
        <w:r w:rsidRPr="00DC57AC">
          <w:rPr>
            <w:rStyle w:val="Hyperlink"/>
            <w:rFonts w:ascii="Arial" w:hAnsi="Arial" w:cs="Arial"/>
            <w:sz w:val="24"/>
            <w:szCs w:val="24"/>
          </w:rPr>
          <w:t>http://www.patientclientcouncil.hscni.net</w:t>
        </w:r>
      </w:hyperlink>
    </w:p>
    <w:p w:rsidR="00B364F9" w:rsidRPr="00DC57AC" w:rsidRDefault="00B364F9" w:rsidP="00B364F9">
      <w:pPr>
        <w:spacing w:after="160" w:line="360" w:lineRule="auto"/>
        <w:contextualSpacing/>
        <w:rPr>
          <w:rFonts w:ascii="Arial" w:eastAsia="Arial" w:hAnsi="Arial" w:cs="Arial"/>
          <w:color w:val="252525"/>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lastRenderedPageBreak/>
        <w:t>13. Escalation to the Ombudsman</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If dissatisfaction remains after completion of the complaints process, complainants may request an independent review by the Northern Ireland Public Services Ombudsman.</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The Ombudsman:</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6"/>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Is independent of HSC organisations.</w:t>
      </w:r>
    </w:p>
    <w:p w:rsidR="00B364F9" w:rsidRPr="00DC57AC" w:rsidRDefault="00B364F9" w:rsidP="00B364F9">
      <w:pPr>
        <w:numPr>
          <w:ilvl w:val="0"/>
          <w:numId w:val="16"/>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Investigates maladministration or service failure.</w:t>
      </w:r>
    </w:p>
    <w:p w:rsidR="00B364F9" w:rsidRPr="00DC57AC" w:rsidRDefault="00B364F9" w:rsidP="00B364F9">
      <w:pPr>
        <w:numPr>
          <w:ilvl w:val="0"/>
          <w:numId w:val="16"/>
        </w:numPr>
        <w:spacing w:after="160" w:line="360" w:lineRule="auto"/>
        <w:contextualSpacing/>
        <w:rPr>
          <w:rFonts w:ascii="Arial" w:eastAsia="Arial" w:hAnsi="Arial" w:cs="Arial"/>
          <w:color w:val="252525"/>
          <w:lang w:eastAsia="en-GB"/>
        </w:rPr>
      </w:pPr>
      <w:r w:rsidRPr="00DC57AC">
        <w:rPr>
          <w:rFonts w:ascii="Arial" w:eastAsia="Arial" w:hAnsi="Arial" w:cs="Arial"/>
          <w:color w:val="252525"/>
          <w:lang w:eastAsia="en-GB"/>
        </w:rPr>
        <w:t>Normally requires local complaints procedures to be completed first.</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Ombudsman contact details will be included in final response correspondence to the complainant.</w:t>
      </w:r>
    </w:p>
    <w:p w:rsidR="00B364F9" w:rsidRPr="00DC57AC" w:rsidRDefault="00B364F9" w:rsidP="00B364F9">
      <w:pPr>
        <w:rPr>
          <w:rFonts w:ascii="Arial" w:eastAsia="Arial" w:hAnsi="Arial" w:cs="Arial"/>
          <w:color w:val="252525"/>
          <w:lang w:eastAsia="en-GB"/>
        </w:rPr>
      </w:pPr>
    </w:p>
    <w:p w:rsidR="00B364F9" w:rsidRPr="00DC57AC" w:rsidRDefault="00B364F9" w:rsidP="00B364F9">
      <w:pPr>
        <w:rPr>
          <w:rFonts w:ascii="Arial" w:eastAsia="Arial" w:hAnsi="Arial" w:cs="Arial"/>
          <w:color w:val="252525"/>
          <w:lang w:eastAsia="en-GB"/>
        </w:rPr>
      </w:pP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The Northern Ireland Public Services Ombudsman, </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33 Wellington Place </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Belfast, </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BT1 6HN. </w:t>
      </w:r>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 xml:space="preserve">Email: </w:t>
      </w:r>
      <w:hyperlink r:id="rId7" w:history="1">
        <w:r w:rsidRPr="00DC57AC">
          <w:rPr>
            <w:rStyle w:val="Hyperlink"/>
            <w:rFonts w:ascii="Arial" w:hAnsi="Arial" w:cs="Arial"/>
            <w:sz w:val="24"/>
            <w:szCs w:val="24"/>
          </w:rPr>
          <w:t>nipso@nipso.org.uk</w:t>
        </w:r>
      </w:hyperlink>
    </w:p>
    <w:p w:rsidR="00B364F9" w:rsidRPr="00DC57AC" w:rsidRDefault="00B364F9" w:rsidP="00B364F9">
      <w:pPr>
        <w:pStyle w:val="NoSpacing"/>
        <w:jc w:val="both"/>
        <w:rPr>
          <w:rFonts w:ascii="Arial" w:hAnsi="Arial" w:cs="Arial"/>
          <w:sz w:val="24"/>
          <w:szCs w:val="24"/>
        </w:rPr>
      </w:pPr>
      <w:r w:rsidRPr="00DC57AC">
        <w:rPr>
          <w:rFonts w:ascii="Arial" w:hAnsi="Arial" w:cs="Arial"/>
          <w:sz w:val="24"/>
          <w:szCs w:val="24"/>
        </w:rPr>
        <w:t>Tele: 0800 343424</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b/>
          <w:color w:val="252525"/>
          <w:lang w:eastAsia="en-GB"/>
        </w:rPr>
      </w:pPr>
      <w:r w:rsidRPr="00DC57AC">
        <w:rPr>
          <w:rFonts w:ascii="Arial" w:eastAsia="Arial" w:hAnsi="Arial" w:cs="Arial"/>
          <w:b/>
          <w:color w:val="252525"/>
          <w:lang w:eastAsia="en-GB"/>
        </w:rPr>
        <w:t>14. Policy Review</w:t>
      </w:r>
    </w:p>
    <w:p w:rsidR="00B364F9" w:rsidRPr="00DC57AC" w:rsidRDefault="00B364F9" w:rsidP="00B364F9">
      <w:pPr>
        <w:rPr>
          <w:rFonts w:ascii="Arial" w:eastAsiaTheme="minorEastAsia" w:hAnsi="Arial" w:cs="Arial"/>
          <w:lang w:eastAsia="en-GB"/>
        </w:rPr>
      </w:pPr>
    </w:p>
    <w:p w:rsidR="00B364F9" w:rsidRPr="00DC57AC" w:rsidRDefault="00B364F9" w:rsidP="00B364F9">
      <w:pPr>
        <w:rPr>
          <w:rFonts w:ascii="Arial" w:eastAsia="Arial" w:hAnsi="Arial" w:cs="Arial"/>
          <w:color w:val="252525"/>
          <w:lang w:eastAsia="en-GB"/>
        </w:rPr>
      </w:pPr>
      <w:r w:rsidRPr="00DC57AC">
        <w:rPr>
          <w:rFonts w:ascii="Arial" w:eastAsia="Arial" w:hAnsi="Arial" w:cs="Arial"/>
          <w:color w:val="252525"/>
          <w:lang w:eastAsia="en-GB"/>
        </w:rPr>
        <w:t>This policy will be reviewed at least every three years or sooner if required by:</w:t>
      </w:r>
    </w:p>
    <w:p w:rsidR="00B364F9" w:rsidRPr="00DC57AC" w:rsidRDefault="00B364F9" w:rsidP="00B364F9">
      <w:pPr>
        <w:rPr>
          <w:rFonts w:ascii="Arial" w:eastAsiaTheme="minorEastAsia" w:hAnsi="Arial" w:cs="Arial"/>
          <w:lang w:eastAsia="en-GB"/>
        </w:rPr>
      </w:pPr>
    </w:p>
    <w:p w:rsidR="00B364F9" w:rsidRPr="00DC57AC" w:rsidRDefault="00B364F9" w:rsidP="00B364F9">
      <w:pPr>
        <w:numPr>
          <w:ilvl w:val="0"/>
          <w:numId w:val="14"/>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Legislative or Departmental change</w:t>
      </w:r>
    </w:p>
    <w:p w:rsidR="00B364F9" w:rsidRPr="00DC57AC" w:rsidRDefault="00B364F9" w:rsidP="00B364F9">
      <w:pPr>
        <w:numPr>
          <w:ilvl w:val="0"/>
          <w:numId w:val="14"/>
        </w:numPr>
        <w:spacing w:after="160" w:line="360" w:lineRule="auto"/>
        <w:contextualSpacing/>
        <w:rPr>
          <w:rFonts w:ascii="Arial" w:eastAsiaTheme="minorEastAsia" w:hAnsi="Arial" w:cs="Arial"/>
          <w:lang w:eastAsia="en-GB"/>
        </w:rPr>
      </w:pPr>
      <w:r w:rsidRPr="00DC57AC">
        <w:rPr>
          <w:rFonts w:ascii="Arial" w:eastAsia="Arial" w:hAnsi="Arial" w:cs="Arial"/>
          <w:color w:val="252525"/>
          <w:lang w:eastAsia="en-GB"/>
        </w:rPr>
        <w:t>Updates to HSC complaints guidance</w:t>
      </w:r>
    </w:p>
    <w:p w:rsidR="00B364F9" w:rsidRPr="00DC57AC" w:rsidRDefault="00B364F9" w:rsidP="00B364F9">
      <w:pPr>
        <w:numPr>
          <w:ilvl w:val="0"/>
          <w:numId w:val="14"/>
        </w:numPr>
        <w:spacing w:after="160" w:line="360" w:lineRule="auto"/>
        <w:contextualSpacing/>
        <w:rPr>
          <w:rFonts w:ascii="Arial" w:eastAsia="Arial" w:hAnsi="Arial" w:cs="Arial"/>
          <w:color w:val="252525"/>
          <w:lang w:eastAsia="en-GB"/>
        </w:rPr>
      </w:pPr>
      <w:r w:rsidRPr="00DC57AC">
        <w:rPr>
          <w:rFonts w:ascii="Arial" w:eastAsia="Arial" w:hAnsi="Arial" w:cs="Arial"/>
          <w:color w:val="252525"/>
          <w:lang w:eastAsia="en-GB"/>
        </w:rPr>
        <w:t>Organisational learning or governance review</w:t>
      </w:r>
    </w:p>
    <w:p w:rsidR="00B364F9" w:rsidRPr="00DC57AC" w:rsidRDefault="00B364F9">
      <w:pPr>
        <w:spacing w:after="160" w:line="259" w:lineRule="auto"/>
        <w:rPr>
          <w:rFonts w:ascii="Arial" w:eastAsia="Arial" w:hAnsi="Arial" w:cs="Arial"/>
          <w:color w:val="252525"/>
          <w:lang w:eastAsia="en-GB"/>
        </w:rPr>
      </w:pPr>
      <w:r w:rsidRPr="00DC57AC">
        <w:rPr>
          <w:rFonts w:ascii="Arial" w:eastAsia="Arial" w:hAnsi="Arial" w:cs="Arial"/>
          <w:color w:val="252525"/>
          <w:lang w:eastAsia="en-GB"/>
        </w:rPr>
        <w:br w:type="page"/>
      </w:r>
    </w:p>
    <w:p w:rsidR="00B364F9" w:rsidRPr="00DC57AC" w:rsidRDefault="00B364F9" w:rsidP="00B364F9">
      <w:pPr>
        <w:spacing w:after="160" w:line="360" w:lineRule="auto"/>
        <w:contextualSpacing/>
        <w:rPr>
          <w:rFonts w:ascii="Arial" w:eastAsia="Arial" w:hAnsi="Arial" w:cs="Arial"/>
          <w:color w:val="252525"/>
          <w:lang w:eastAsia="en-GB"/>
        </w:rPr>
      </w:pPr>
      <w:r w:rsidRPr="00DC57AC">
        <w:rPr>
          <w:rFonts w:ascii="Arial" w:eastAsia="Arial" w:hAnsi="Arial" w:cs="Arial"/>
          <w:noProof/>
          <w:color w:val="252525"/>
          <w:lang w:eastAsia="en-GB"/>
        </w:rPr>
        <w:lastRenderedPageBreak/>
        <w:drawing>
          <wp:inline distT="0" distB="0" distL="0" distR="0" wp14:anchorId="791C271F" wp14:editId="42E9FD56">
            <wp:extent cx="5731510" cy="8705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8705850"/>
                    </a:xfrm>
                    <a:prstGeom prst="rect">
                      <a:avLst/>
                    </a:prstGeom>
                  </pic:spPr>
                </pic:pic>
              </a:graphicData>
            </a:graphic>
          </wp:inline>
        </w:drawing>
      </w:r>
    </w:p>
    <w:p w:rsidR="00B364F9" w:rsidRPr="00DC57AC" w:rsidRDefault="00B364F9" w:rsidP="00B364F9">
      <w:pPr>
        <w:rPr>
          <w:rFonts w:ascii="Arial" w:eastAsiaTheme="minorEastAsia" w:hAnsi="Arial" w:cs="Arial"/>
          <w:lang w:eastAsia="en-GB"/>
        </w:rPr>
      </w:pPr>
    </w:p>
    <w:p w:rsidR="00DC57AC" w:rsidRPr="00DC57AC" w:rsidRDefault="00B364F9" w:rsidP="00DC57AC">
      <w:pPr>
        <w:pStyle w:val="Header"/>
        <w:jc w:val="center"/>
        <w:rPr>
          <w:rFonts w:ascii="Arial" w:hAnsi="Arial" w:cs="Arial"/>
          <w:b/>
          <w:bCs/>
          <w:u w:val="single"/>
        </w:rPr>
      </w:pPr>
      <w:r w:rsidRPr="00DC57AC">
        <w:rPr>
          <w:rFonts w:ascii="Arial" w:hAnsi="Arial" w:cs="Arial"/>
        </w:rPr>
        <w:br w:type="page"/>
      </w:r>
      <w:r w:rsidR="00DC57AC" w:rsidRPr="00DC57AC">
        <w:rPr>
          <w:rFonts w:ascii="Arial" w:hAnsi="Arial" w:cs="Arial"/>
          <w:b/>
          <w:bCs/>
          <w:u w:val="single"/>
        </w:rPr>
        <w:lastRenderedPageBreak/>
        <w:t>Notting Hill Medical Practice</w:t>
      </w:r>
    </w:p>
    <w:p w:rsidR="00DC57AC" w:rsidRPr="00DC57AC" w:rsidRDefault="00DC57AC" w:rsidP="00DC57AC">
      <w:pPr>
        <w:tabs>
          <w:tab w:val="center" w:pos="4320"/>
          <w:tab w:val="right" w:pos="8640"/>
        </w:tabs>
        <w:jc w:val="center"/>
        <w:rPr>
          <w:rFonts w:ascii="Arial" w:hAnsi="Arial" w:cs="Arial"/>
          <w:b/>
          <w:bCs/>
        </w:rPr>
      </w:pPr>
      <w:r w:rsidRPr="00DC57AC">
        <w:rPr>
          <w:rFonts w:ascii="Arial" w:hAnsi="Arial" w:cs="Arial"/>
          <w:b/>
          <w:bCs/>
          <w:u w:val="single"/>
        </w:rPr>
        <w:t>Complaints Information Sheet</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If you have a complaint or are concerned about the services or treatment you have received from the doctors or any of the staff working in our practice, please let us know.  We operate a complaints procedure to deal with any complaints which meets the criteria agreed for Health &amp; Social Care Services and Model Complaints Handling Procedure (MCHP)</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b/>
        </w:rPr>
      </w:pPr>
      <w:r w:rsidRPr="00DC57AC">
        <w:rPr>
          <w:rFonts w:ascii="Arial" w:hAnsi="Arial" w:cs="Arial"/>
          <w:b/>
        </w:rPr>
        <w:t>Who can complain?</w:t>
      </w:r>
    </w:p>
    <w:p w:rsidR="00DC57AC" w:rsidRPr="00DC57AC" w:rsidRDefault="00DC57AC" w:rsidP="00DC57AC">
      <w:pPr>
        <w:jc w:val="both"/>
        <w:rPr>
          <w:rFonts w:ascii="Arial" w:hAnsi="Arial" w:cs="Arial"/>
        </w:rPr>
      </w:pPr>
    </w:p>
    <w:p w:rsidR="00DC57AC" w:rsidRPr="00DC57AC" w:rsidRDefault="00DC57AC" w:rsidP="00DC57AC">
      <w:pPr>
        <w:autoSpaceDE w:val="0"/>
        <w:autoSpaceDN w:val="0"/>
        <w:adjustRightInd w:val="0"/>
        <w:rPr>
          <w:rFonts w:ascii="Arial" w:hAnsi="Arial" w:cs="Arial"/>
          <w:color w:val="000000"/>
          <w:lang w:eastAsia="en-GB"/>
        </w:rPr>
      </w:pPr>
      <w:r w:rsidRPr="00DC57AC">
        <w:rPr>
          <w:rFonts w:ascii="Arial" w:hAnsi="Arial" w:cs="Arial"/>
          <w:color w:val="000000"/>
          <w:lang w:eastAsia="en-GB"/>
        </w:rPr>
        <w:t xml:space="preserve">Any person can complain about any matter connected with the provision of services provided by practice. Complaints may be made by: </w:t>
      </w:r>
    </w:p>
    <w:p w:rsidR="00DC57AC" w:rsidRPr="00DC57AC" w:rsidRDefault="00DC57AC" w:rsidP="00DC57AC">
      <w:pPr>
        <w:autoSpaceDE w:val="0"/>
        <w:autoSpaceDN w:val="0"/>
        <w:adjustRightInd w:val="0"/>
        <w:rPr>
          <w:rFonts w:ascii="Arial" w:hAnsi="Arial" w:cs="Arial"/>
          <w:color w:val="000000"/>
          <w:lang w:eastAsia="en-GB"/>
        </w:rPr>
      </w:pPr>
    </w:p>
    <w:p w:rsidR="00DC57AC" w:rsidRPr="00DC57AC" w:rsidRDefault="00DC57AC" w:rsidP="00DC57AC">
      <w:pPr>
        <w:numPr>
          <w:ilvl w:val="0"/>
          <w:numId w:val="17"/>
        </w:numPr>
        <w:autoSpaceDE w:val="0"/>
        <w:autoSpaceDN w:val="0"/>
        <w:adjustRightInd w:val="0"/>
        <w:rPr>
          <w:rFonts w:ascii="Arial" w:hAnsi="Arial" w:cs="Arial"/>
          <w:color w:val="000000"/>
          <w:lang w:eastAsia="en-GB"/>
        </w:rPr>
      </w:pPr>
      <w:r w:rsidRPr="00DC57AC">
        <w:rPr>
          <w:rFonts w:ascii="Arial" w:hAnsi="Arial" w:cs="Arial"/>
          <w:color w:val="000000"/>
          <w:lang w:eastAsia="en-GB"/>
        </w:rPr>
        <w:t xml:space="preserve">a patient or client; </w:t>
      </w:r>
    </w:p>
    <w:p w:rsidR="00DC57AC" w:rsidRPr="00DC57AC" w:rsidRDefault="00DC57AC" w:rsidP="00DC57AC">
      <w:pPr>
        <w:numPr>
          <w:ilvl w:val="0"/>
          <w:numId w:val="17"/>
        </w:numPr>
        <w:autoSpaceDE w:val="0"/>
        <w:autoSpaceDN w:val="0"/>
        <w:adjustRightInd w:val="0"/>
        <w:rPr>
          <w:rFonts w:ascii="Arial" w:hAnsi="Arial" w:cs="Arial"/>
          <w:color w:val="000000"/>
          <w:lang w:eastAsia="en-GB"/>
        </w:rPr>
      </w:pPr>
      <w:r w:rsidRPr="00DC57AC">
        <w:rPr>
          <w:rFonts w:ascii="Arial" w:hAnsi="Arial" w:cs="Arial"/>
          <w:color w:val="000000"/>
          <w:lang w:eastAsia="en-GB"/>
        </w:rPr>
        <w:t xml:space="preserve">former patients, clients or visitors using HSC services and facilities; </w:t>
      </w:r>
    </w:p>
    <w:p w:rsidR="00DC57AC" w:rsidRPr="00DC57AC" w:rsidRDefault="00DC57AC" w:rsidP="00DC57AC">
      <w:pPr>
        <w:numPr>
          <w:ilvl w:val="0"/>
          <w:numId w:val="17"/>
        </w:numPr>
        <w:autoSpaceDE w:val="0"/>
        <w:autoSpaceDN w:val="0"/>
        <w:adjustRightInd w:val="0"/>
        <w:rPr>
          <w:rFonts w:ascii="Arial" w:hAnsi="Arial" w:cs="Arial"/>
          <w:color w:val="000000"/>
          <w:lang w:eastAsia="en-GB"/>
        </w:rPr>
      </w:pPr>
      <w:r w:rsidRPr="00DC57AC">
        <w:rPr>
          <w:rFonts w:ascii="Arial" w:hAnsi="Arial" w:cs="Arial"/>
          <w:color w:val="000000"/>
          <w:lang w:eastAsia="en-GB"/>
        </w:rPr>
        <w:t xml:space="preserve">someone acting on behalf of existing or former patients or clients, providing they have obtained the patient’s or client’s consent; </w:t>
      </w:r>
    </w:p>
    <w:p w:rsidR="00DC57AC" w:rsidRPr="00DC57AC" w:rsidRDefault="00DC57AC" w:rsidP="00DC57AC">
      <w:pPr>
        <w:numPr>
          <w:ilvl w:val="0"/>
          <w:numId w:val="17"/>
        </w:numPr>
        <w:autoSpaceDE w:val="0"/>
        <w:autoSpaceDN w:val="0"/>
        <w:adjustRightInd w:val="0"/>
        <w:rPr>
          <w:rFonts w:ascii="Arial" w:hAnsi="Arial" w:cs="Arial"/>
          <w:color w:val="000000"/>
          <w:lang w:eastAsia="en-GB"/>
        </w:rPr>
      </w:pPr>
      <w:r w:rsidRPr="00DC57AC">
        <w:rPr>
          <w:rFonts w:ascii="Arial" w:hAnsi="Arial" w:cs="Arial"/>
          <w:color w:val="000000"/>
          <w:lang w:eastAsia="en-GB"/>
        </w:rPr>
        <w:t xml:space="preserve">parents (or persons with parental responsibility) on behalf of a child; and </w:t>
      </w:r>
    </w:p>
    <w:p w:rsidR="00DC57AC" w:rsidRPr="00DC57AC" w:rsidRDefault="00DC57AC" w:rsidP="00DC57AC">
      <w:pPr>
        <w:numPr>
          <w:ilvl w:val="0"/>
          <w:numId w:val="17"/>
        </w:numPr>
        <w:autoSpaceDE w:val="0"/>
        <w:autoSpaceDN w:val="0"/>
        <w:adjustRightInd w:val="0"/>
        <w:rPr>
          <w:rFonts w:ascii="Arial" w:hAnsi="Arial" w:cs="Arial"/>
          <w:lang w:eastAsia="en-GB"/>
        </w:rPr>
      </w:pPr>
      <w:proofErr w:type="gramStart"/>
      <w:r w:rsidRPr="00DC57AC">
        <w:rPr>
          <w:rFonts w:ascii="Arial" w:hAnsi="Arial" w:cs="Arial"/>
          <w:lang w:eastAsia="en-GB"/>
        </w:rPr>
        <w:t>any</w:t>
      </w:r>
      <w:proofErr w:type="gramEnd"/>
      <w:r w:rsidRPr="00DC57AC">
        <w:rPr>
          <w:rFonts w:ascii="Arial" w:hAnsi="Arial" w:cs="Arial"/>
          <w:lang w:eastAsia="en-GB"/>
        </w:rPr>
        <w:t xml:space="preserve"> appropriate person in respect of a patient or client who has died e.g. the next of kin. </w:t>
      </w:r>
    </w:p>
    <w:p w:rsidR="00DC57AC" w:rsidRPr="00DC57AC" w:rsidRDefault="00DC57AC" w:rsidP="00DC57AC">
      <w:pPr>
        <w:autoSpaceDE w:val="0"/>
        <w:autoSpaceDN w:val="0"/>
        <w:adjustRightInd w:val="0"/>
        <w:rPr>
          <w:rFonts w:ascii="Arial" w:hAnsi="Arial" w:cs="Arial"/>
          <w:lang w:eastAsia="en-GB"/>
        </w:rPr>
      </w:pPr>
    </w:p>
    <w:p w:rsidR="00DC57AC" w:rsidRPr="00DC57AC" w:rsidRDefault="00DC57AC" w:rsidP="00DC57AC">
      <w:pPr>
        <w:jc w:val="both"/>
        <w:rPr>
          <w:rFonts w:ascii="Arial" w:hAnsi="Arial" w:cs="Arial"/>
          <w:b/>
        </w:rPr>
      </w:pPr>
      <w:r w:rsidRPr="00DC57AC">
        <w:rPr>
          <w:rFonts w:ascii="Arial" w:hAnsi="Arial" w:cs="Arial"/>
        </w:rPr>
        <w:t xml:space="preserve"> </w:t>
      </w:r>
      <w:r w:rsidRPr="00DC57AC">
        <w:rPr>
          <w:rFonts w:ascii="Arial" w:hAnsi="Arial" w:cs="Arial"/>
          <w:b/>
        </w:rPr>
        <w:t>Consent</w:t>
      </w:r>
    </w:p>
    <w:p w:rsidR="00DC57AC" w:rsidRPr="00DC57AC" w:rsidRDefault="00DC57AC" w:rsidP="00DC57AC">
      <w:pPr>
        <w:jc w:val="both"/>
        <w:rPr>
          <w:rFonts w:ascii="Calibri Light" w:hAnsi="Calibri Light" w:cs="Calibri Light"/>
          <w:sz w:val="16"/>
          <w:szCs w:val="16"/>
        </w:rPr>
      </w:pPr>
    </w:p>
    <w:p w:rsidR="00DC57AC" w:rsidRPr="00DC57AC" w:rsidRDefault="00DC57AC" w:rsidP="00DC57AC">
      <w:pPr>
        <w:jc w:val="both"/>
        <w:rPr>
          <w:rFonts w:ascii="Arial" w:hAnsi="Arial" w:cs="Arial"/>
        </w:rPr>
      </w:pPr>
      <w:r w:rsidRPr="00DC57AC">
        <w:rPr>
          <w:rFonts w:ascii="Arial" w:hAnsi="Arial" w:cs="Arial"/>
        </w:rPr>
        <w:t>All our staff are aware of their legal and ethical duty to protect the confidentiality of patients. These legal requirements are set out in the Data Protection Act 1998 and the Human Rights Act 1998.</w:t>
      </w:r>
    </w:p>
    <w:p w:rsidR="00DC57AC" w:rsidRPr="00DC57AC" w:rsidRDefault="00DC57AC" w:rsidP="00DC57AC">
      <w:pPr>
        <w:jc w:val="both"/>
        <w:rPr>
          <w:rFonts w:ascii="Arial" w:hAnsi="Arial" w:cs="Arial"/>
        </w:rPr>
      </w:pPr>
    </w:p>
    <w:p w:rsidR="00DC57AC" w:rsidRPr="00DC57AC" w:rsidRDefault="00DC57AC" w:rsidP="00DC57AC">
      <w:pPr>
        <w:autoSpaceDE w:val="0"/>
        <w:autoSpaceDN w:val="0"/>
        <w:adjustRightInd w:val="0"/>
        <w:rPr>
          <w:rFonts w:ascii="Arial" w:hAnsi="Arial" w:cs="Arial"/>
          <w:color w:val="000000"/>
          <w:lang w:eastAsia="en-GB"/>
        </w:rPr>
      </w:pPr>
      <w:r w:rsidRPr="00DC57AC">
        <w:rPr>
          <w:rFonts w:ascii="Arial" w:hAnsi="Arial" w:cs="Arial"/>
          <w:color w:val="000000"/>
          <w:lang w:eastAsia="en-GB"/>
        </w:rPr>
        <w:t xml:space="preserve">Complaints by a third party should be made with the written consent of the individual concerned. </w:t>
      </w:r>
    </w:p>
    <w:p w:rsidR="00DC57AC" w:rsidRPr="00DC57AC" w:rsidRDefault="00DC57AC" w:rsidP="00DC57AC">
      <w:pPr>
        <w:autoSpaceDE w:val="0"/>
        <w:autoSpaceDN w:val="0"/>
        <w:adjustRightInd w:val="0"/>
        <w:rPr>
          <w:rFonts w:ascii="Arial" w:hAnsi="Arial" w:cs="Arial"/>
          <w:color w:val="000000"/>
          <w:lang w:eastAsia="en-GB"/>
        </w:rPr>
      </w:pPr>
      <w:r w:rsidRPr="00DC57AC">
        <w:rPr>
          <w:rFonts w:ascii="Arial" w:hAnsi="Arial" w:cs="Arial"/>
          <w:color w:val="000000"/>
          <w:lang w:eastAsia="en-GB"/>
        </w:rPr>
        <w:t>There will be situations where it is not possible to obtain consent, such as:</w:t>
      </w:r>
    </w:p>
    <w:p w:rsidR="00DC57AC" w:rsidRPr="00DC57AC" w:rsidRDefault="00DC57AC" w:rsidP="00DC57AC">
      <w:pPr>
        <w:autoSpaceDE w:val="0"/>
        <w:autoSpaceDN w:val="0"/>
        <w:adjustRightInd w:val="0"/>
        <w:rPr>
          <w:rFonts w:ascii="Arial" w:hAnsi="Arial" w:cs="Arial"/>
          <w:color w:val="000000"/>
          <w:lang w:eastAsia="en-GB"/>
        </w:rPr>
      </w:pPr>
    </w:p>
    <w:p w:rsidR="00DC57AC" w:rsidRPr="00DC57AC" w:rsidRDefault="00DC57AC" w:rsidP="00DC57AC">
      <w:pPr>
        <w:numPr>
          <w:ilvl w:val="0"/>
          <w:numId w:val="21"/>
        </w:numPr>
        <w:autoSpaceDE w:val="0"/>
        <w:autoSpaceDN w:val="0"/>
        <w:adjustRightInd w:val="0"/>
        <w:rPr>
          <w:rFonts w:ascii="Arial" w:hAnsi="Arial" w:cs="Arial"/>
          <w:color w:val="000000"/>
          <w:lang w:eastAsia="en-GB"/>
        </w:rPr>
      </w:pPr>
      <w:r w:rsidRPr="00DC57AC">
        <w:rPr>
          <w:rFonts w:ascii="Arial" w:hAnsi="Arial" w:cs="Arial"/>
          <w:color w:val="000000"/>
          <w:lang w:eastAsia="en-GB"/>
        </w:rPr>
        <w:t>where the individual is a child and not of sufficient age or understanding to make a complaint on their own behalf</w:t>
      </w:r>
    </w:p>
    <w:p w:rsidR="00DC57AC" w:rsidRPr="00DC57AC" w:rsidRDefault="00DC57AC" w:rsidP="00DC57AC">
      <w:pPr>
        <w:numPr>
          <w:ilvl w:val="0"/>
          <w:numId w:val="21"/>
        </w:numPr>
        <w:autoSpaceDE w:val="0"/>
        <w:autoSpaceDN w:val="0"/>
        <w:adjustRightInd w:val="0"/>
        <w:rPr>
          <w:rFonts w:ascii="Arial" w:hAnsi="Arial" w:cs="Arial"/>
          <w:color w:val="000000"/>
          <w:lang w:eastAsia="en-GB"/>
        </w:rPr>
      </w:pPr>
      <w:r w:rsidRPr="00DC57AC">
        <w:rPr>
          <w:rFonts w:ascii="Arial" w:hAnsi="Arial" w:cs="Arial"/>
          <w:color w:val="000000"/>
          <w:lang w:eastAsia="en-GB"/>
        </w:rPr>
        <w:t>where the individual is incapable (for example, rendered unconscious due to an accident; judgement impaired by learning disability, mental illness, brain injury or serious communication problems)</w:t>
      </w:r>
    </w:p>
    <w:p w:rsidR="00DC57AC" w:rsidRPr="00DC57AC" w:rsidRDefault="00DC57AC" w:rsidP="00DC57AC">
      <w:pPr>
        <w:numPr>
          <w:ilvl w:val="0"/>
          <w:numId w:val="21"/>
        </w:numPr>
        <w:autoSpaceDE w:val="0"/>
        <w:autoSpaceDN w:val="0"/>
        <w:adjustRightInd w:val="0"/>
        <w:rPr>
          <w:rFonts w:ascii="Arial" w:hAnsi="Arial" w:cs="Arial"/>
          <w:color w:val="000000"/>
          <w:lang w:eastAsia="en-GB"/>
        </w:rPr>
      </w:pPr>
      <w:r w:rsidRPr="00DC57AC">
        <w:rPr>
          <w:rFonts w:ascii="Arial" w:hAnsi="Arial" w:cs="Arial"/>
          <w:color w:val="000000"/>
          <w:lang w:eastAsia="en-GB"/>
        </w:rPr>
        <w:t>where the subject of the complaint is deceased</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b/>
        </w:rPr>
      </w:pPr>
      <w:r w:rsidRPr="00DC57AC">
        <w:rPr>
          <w:rFonts w:ascii="Arial" w:hAnsi="Arial" w:cs="Arial"/>
          <w:b/>
        </w:rPr>
        <w:t>How can you complain?</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 xml:space="preserve">Hopefully most problems can be sorted out easily and quickly, often when they arise and with the person concerned.  If this is not possible, and you wish to formally make a complaint, let us know as soon as possible in order that we may find out what happened more easily.  </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 xml:space="preserve">We can however, consider complaints made within six months of the date of discovering the problem, provided this is within twelve months of the incident.  If it is clearly reasonable in the circumstances to make a complaint after this and where it is still possible to investigate the facts of the case, we can consider extending this time limit. </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 xml:space="preserve">If you wish to make a complaint, speak or write to the Practice Manager (Barbara Sawyer).  The complaints procedure will be explained to you and you will be given assurance that your concerns are dealt with promptly in an independent and unbiased </w:t>
      </w:r>
      <w:r w:rsidRPr="00DC57AC">
        <w:rPr>
          <w:rFonts w:ascii="Arial" w:hAnsi="Arial" w:cs="Arial"/>
        </w:rPr>
        <w:lastRenderedPageBreak/>
        <w:t xml:space="preserve">manner.  It will be helpful if you are as specific as possible about your complaint.  Please be aware </w:t>
      </w:r>
      <w:proofErr w:type="spellStart"/>
      <w:r w:rsidRPr="00DC57AC">
        <w:rPr>
          <w:rFonts w:ascii="Arial" w:hAnsi="Arial" w:cs="Arial"/>
        </w:rPr>
        <w:t>anonimised</w:t>
      </w:r>
      <w:proofErr w:type="spellEnd"/>
      <w:r w:rsidRPr="00DC57AC">
        <w:rPr>
          <w:rFonts w:ascii="Arial" w:hAnsi="Arial" w:cs="Arial"/>
        </w:rPr>
        <w:t xml:space="preserve"> copies of all written complaints are shared with the HSCB for monitoring purposes.</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b/>
        </w:rPr>
      </w:pPr>
      <w:r w:rsidRPr="00DC57AC">
        <w:rPr>
          <w:rFonts w:ascii="Arial" w:hAnsi="Arial" w:cs="Arial"/>
          <w:b/>
        </w:rPr>
        <w:t>What Happens Next?</w:t>
      </w:r>
    </w:p>
    <w:p w:rsidR="00DC57AC" w:rsidRPr="00DC57AC" w:rsidRDefault="00DC57AC" w:rsidP="00DC57AC">
      <w:pPr>
        <w:jc w:val="both"/>
        <w:rPr>
          <w:rFonts w:ascii="Calibri Light" w:hAnsi="Calibri Light" w:cs="Calibri Light"/>
          <w:sz w:val="16"/>
          <w:szCs w:val="16"/>
        </w:rPr>
      </w:pPr>
    </w:p>
    <w:p w:rsidR="00DC57AC" w:rsidRPr="00DC57AC" w:rsidRDefault="00DC57AC" w:rsidP="00DC57AC">
      <w:pPr>
        <w:jc w:val="both"/>
        <w:rPr>
          <w:rFonts w:ascii="Arial" w:hAnsi="Arial" w:cs="Arial"/>
        </w:rPr>
      </w:pPr>
      <w:r w:rsidRPr="00DC57AC">
        <w:rPr>
          <w:rFonts w:ascii="Arial" w:hAnsi="Arial" w:cs="Arial"/>
        </w:rPr>
        <w:t>Most problems can be sorted easily and quickly.   Complaints will be handled in the following stages:</w:t>
      </w:r>
    </w:p>
    <w:p w:rsidR="00DC57AC" w:rsidRPr="00DC57AC" w:rsidRDefault="00DC57AC" w:rsidP="00DC57AC">
      <w:pPr>
        <w:jc w:val="both"/>
        <w:rPr>
          <w:rFonts w:ascii="Arial" w:hAnsi="Arial" w:cs="Arial"/>
        </w:rPr>
      </w:pPr>
    </w:p>
    <w:p w:rsidR="00DC57AC" w:rsidRPr="00DC57AC" w:rsidRDefault="00DC57AC" w:rsidP="00DC57AC">
      <w:pPr>
        <w:rPr>
          <w:rFonts w:ascii="Arial" w:eastAsia="Arial" w:hAnsi="Arial" w:cs="Arial"/>
          <w:b/>
          <w:color w:val="252525"/>
        </w:rPr>
      </w:pPr>
      <w:r w:rsidRPr="00DC57AC">
        <w:rPr>
          <w:rFonts w:ascii="Arial" w:eastAsia="Arial" w:hAnsi="Arial" w:cs="Arial"/>
          <w:b/>
          <w:color w:val="252525"/>
        </w:rPr>
        <w:t>Stage One – Frontline Response</w:t>
      </w:r>
    </w:p>
    <w:p w:rsidR="00DC57AC" w:rsidRPr="00DC57AC" w:rsidRDefault="00DC57AC" w:rsidP="00DC57AC">
      <w:pPr>
        <w:rPr>
          <w:rFonts w:ascii="Arial" w:hAnsi="Arial" w:cs="Arial"/>
        </w:rPr>
      </w:pPr>
    </w:p>
    <w:p w:rsidR="00DC57AC" w:rsidRPr="00DC57AC" w:rsidRDefault="00DC57AC" w:rsidP="00DC57AC">
      <w:pPr>
        <w:numPr>
          <w:ilvl w:val="0"/>
          <w:numId w:val="22"/>
        </w:numPr>
        <w:contextualSpacing/>
        <w:rPr>
          <w:rFonts w:ascii="Arial" w:hAnsi="Arial" w:cs="Arial"/>
        </w:rPr>
      </w:pPr>
      <w:r w:rsidRPr="00DC57AC">
        <w:rPr>
          <w:rFonts w:ascii="Arial" w:eastAsia="Arial" w:hAnsi="Arial" w:cs="Arial"/>
          <w:color w:val="252525"/>
        </w:rPr>
        <w:t>Focuses on local, early resolution at the point of service delivery.</w:t>
      </w:r>
    </w:p>
    <w:p w:rsidR="00DC57AC" w:rsidRPr="00DC57AC" w:rsidRDefault="00DC57AC" w:rsidP="00DC57AC">
      <w:pPr>
        <w:numPr>
          <w:ilvl w:val="0"/>
          <w:numId w:val="22"/>
        </w:numPr>
        <w:contextualSpacing/>
        <w:rPr>
          <w:rFonts w:ascii="Arial" w:hAnsi="Arial" w:cs="Arial"/>
        </w:rPr>
      </w:pPr>
      <w:r w:rsidRPr="00DC57AC">
        <w:rPr>
          <w:rFonts w:ascii="Arial" w:eastAsia="Arial" w:hAnsi="Arial" w:cs="Arial"/>
          <w:color w:val="252525"/>
        </w:rPr>
        <w:t>Managed by staff or line managers closest to the issue.</w:t>
      </w:r>
    </w:p>
    <w:p w:rsidR="00DC57AC" w:rsidRPr="00DC57AC" w:rsidRDefault="00DC57AC" w:rsidP="00DC57AC">
      <w:pPr>
        <w:numPr>
          <w:ilvl w:val="0"/>
          <w:numId w:val="22"/>
        </w:numPr>
        <w:contextualSpacing/>
        <w:rPr>
          <w:rFonts w:ascii="Arial" w:hAnsi="Arial" w:cs="Arial"/>
        </w:rPr>
      </w:pPr>
      <w:r w:rsidRPr="00DC57AC">
        <w:rPr>
          <w:rFonts w:ascii="Arial" w:eastAsia="Arial" w:hAnsi="Arial" w:cs="Arial"/>
          <w:color w:val="252525"/>
        </w:rPr>
        <w:t>Aims to resolve the concern within 5 working days.</w:t>
      </w:r>
    </w:p>
    <w:p w:rsidR="00DC57AC" w:rsidRPr="00DC57AC" w:rsidRDefault="00DC57AC" w:rsidP="00DC57AC">
      <w:pPr>
        <w:numPr>
          <w:ilvl w:val="0"/>
          <w:numId w:val="22"/>
        </w:numPr>
        <w:contextualSpacing/>
        <w:rPr>
          <w:rFonts w:ascii="Arial" w:hAnsi="Arial" w:cs="Arial"/>
        </w:rPr>
      </w:pPr>
      <w:r w:rsidRPr="00DC57AC">
        <w:rPr>
          <w:rFonts w:ascii="Arial" w:eastAsia="Arial" w:hAnsi="Arial" w:cs="Arial"/>
          <w:color w:val="252525"/>
        </w:rPr>
        <w:t>The complainant will be informed of the outcome and any actions taken.</w:t>
      </w:r>
    </w:p>
    <w:p w:rsidR="00DC57AC" w:rsidRPr="00DC57AC" w:rsidRDefault="00DC57AC" w:rsidP="00DC57AC">
      <w:pPr>
        <w:numPr>
          <w:ilvl w:val="0"/>
          <w:numId w:val="22"/>
        </w:numPr>
        <w:contextualSpacing/>
        <w:rPr>
          <w:rFonts w:ascii="Arial" w:hAnsi="Arial" w:cs="Arial"/>
        </w:rPr>
      </w:pPr>
      <w:r w:rsidRPr="00DC57AC">
        <w:rPr>
          <w:rFonts w:ascii="Arial" w:eastAsia="Arial" w:hAnsi="Arial" w:cs="Arial"/>
          <w:color w:val="252525"/>
        </w:rPr>
        <w:t>If unresolved or the complainant remains dissatisfied, the complaint progresses to Stage Two.</w:t>
      </w:r>
    </w:p>
    <w:p w:rsidR="00DC57AC" w:rsidRPr="00DC57AC" w:rsidRDefault="00DC57AC" w:rsidP="00DC57AC">
      <w:pPr>
        <w:rPr>
          <w:rFonts w:ascii="Arial" w:eastAsia="Arial" w:hAnsi="Arial" w:cs="Arial"/>
          <w:color w:val="252525"/>
        </w:rPr>
      </w:pPr>
    </w:p>
    <w:p w:rsidR="00DC57AC" w:rsidRPr="00DC57AC" w:rsidRDefault="00DC57AC" w:rsidP="00DC57AC">
      <w:pPr>
        <w:rPr>
          <w:rFonts w:ascii="Arial" w:eastAsia="Arial" w:hAnsi="Arial" w:cs="Arial"/>
          <w:b/>
          <w:color w:val="252525"/>
        </w:rPr>
      </w:pPr>
      <w:r w:rsidRPr="00DC57AC">
        <w:rPr>
          <w:rFonts w:ascii="Arial" w:eastAsia="Arial" w:hAnsi="Arial" w:cs="Arial"/>
          <w:b/>
          <w:color w:val="252525"/>
        </w:rPr>
        <w:t>Stage Two – Full Investigation</w:t>
      </w:r>
    </w:p>
    <w:p w:rsidR="00DC57AC" w:rsidRPr="00DC57AC" w:rsidRDefault="00DC57AC" w:rsidP="00DC57AC">
      <w:pPr>
        <w:rPr>
          <w:rFonts w:ascii="Arial" w:hAnsi="Arial" w:cs="Arial"/>
        </w:rPr>
      </w:pPr>
    </w:p>
    <w:p w:rsidR="00DC57AC" w:rsidRPr="00DC57AC" w:rsidRDefault="00DC57AC" w:rsidP="00DC57AC">
      <w:pPr>
        <w:numPr>
          <w:ilvl w:val="0"/>
          <w:numId w:val="23"/>
        </w:numPr>
        <w:contextualSpacing/>
        <w:rPr>
          <w:rFonts w:ascii="Arial" w:hAnsi="Arial" w:cs="Arial"/>
        </w:rPr>
      </w:pPr>
      <w:r w:rsidRPr="00DC57AC">
        <w:rPr>
          <w:rFonts w:ascii="Arial" w:eastAsia="Arial" w:hAnsi="Arial" w:cs="Arial"/>
          <w:color w:val="252525"/>
        </w:rPr>
        <w:t>A comprehensive and objective investigation will be undertaken.</w:t>
      </w:r>
    </w:p>
    <w:p w:rsidR="00DC57AC" w:rsidRPr="00DC57AC" w:rsidRDefault="00DC57AC" w:rsidP="00DC57AC">
      <w:pPr>
        <w:numPr>
          <w:ilvl w:val="0"/>
          <w:numId w:val="23"/>
        </w:numPr>
        <w:contextualSpacing/>
        <w:rPr>
          <w:rFonts w:ascii="Arial" w:hAnsi="Arial" w:cs="Arial"/>
        </w:rPr>
      </w:pPr>
      <w:r w:rsidRPr="00DC57AC">
        <w:rPr>
          <w:rFonts w:ascii="Arial" w:eastAsia="Arial" w:hAnsi="Arial" w:cs="Arial"/>
          <w:color w:val="252525"/>
        </w:rPr>
        <w:t>A full written response within 20 working days will normally be provided.</w:t>
      </w:r>
    </w:p>
    <w:p w:rsidR="00DC57AC" w:rsidRPr="00DC57AC" w:rsidRDefault="00DC57AC" w:rsidP="00DC57AC">
      <w:pPr>
        <w:numPr>
          <w:ilvl w:val="0"/>
          <w:numId w:val="23"/>
        </w:numPr>
        <w:contextualSpacing/>
        <w:rPr>
          <w:rFonts w:ascii="Arial" w:hAnsi="Arial" w:cs="Arial"/>
        </w:rPr>
      </w:pPr>
      <w:r w:rsidRPr="00DC57AC">
        <w:rPr>
          <w:rFonts w:ascii="Arial" w:eastAsia="Arial" w:hAnsi="Arial" w:cs="Arial"/>
          <w:color w:val="252525"/>
        </w:rPr>
        <w:t>If this is not achievable, the complainant will receive:</w:t>
      </w:r>
    </w:p>
    <w:p w:rsidR="00DC57AC" w:rsidRPr="00DC57AC" w:rsidRDefault="00DC57AC" w:rsidP="00DC57AC">
      <w:pPr>
        <w:numPr>
          <w:ilvl w:val="0"/>
          <w:numId w:val="24"/>
        </w:numPr>
        <w:contextualSpacing/>
        <w:rPr>
          <w:rFonts w:ascii="Arial" w:hAnsi="Arial" w:cs="Arial"/>
        </w:rPr>
      </w:pPr>
      <w:r w:rsidRPr="00DC57AC">
        <w:rPr>
          <w:rFonts w:ascii="Arial" w:eastAsia="Arial" w:hAnsi="Arial" w:cs="Arial"/>
          <w:color w:val="252525"/>
        </w:rPr>
        <w:t>An explanation for the delay, and</w:t>
      </w:r>
    </w:p>
    <w:p w:rsidR="00DC57AC" w:rsidRPr="00DC57AC" w:rsidRDefault="00DC57AC" w:rsidP="00DC57AC">
      <w:pPr>
        <w:numPr>
          <w:ilvl w:val="0"/>
          <w:numId w:val="24"/>
        </w:numPr>
        <w:contextualSpacing/>
        <w:jc w:val="both"/>
        <w:rPr>
          <w:rFonts w:ascii="Arial" w:hAnsi="Arial" w:cs="Arial"/>
        </w:rPr>
      </w:pPr>
      <w:r w:rsidRPr="00DC57AC">
        <w:rPr>
          <w:rFonts w:ascii="Arial" w:eastAsia="Arial" w:hAnsi="Arial" w:cs="Arial"/>
          <w:color w:val="252525"/>
        </w:rPr>
        <w:t>A revised response date.</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In investigating your complaint we aim to:</w:t>
      </w:r>
    </w:p>
    <w:p w:rsidR="00DC57AC" w:rsidRPr="00DC57AC" w:rsidRDefault="00DC57AC" w:rsidP="00DC57AC">
      <w:pPr>
        <w:jc w:val="both"/>
        <w:rPr>
          <w:rFonts w:ascii="Arial" w:hAnsi="Arial" w:cs="Arial"/>
        </w:rPr>
      </w:pPr>
    </w:p>
    <w:p w:rsidR="00DC57AC" w:rsidRPr="00DC57AC" w:rsidRDefault="00DC57AC" w:rsidP="00DC57AC">
      <w:pPr>
        <w:numPr>
          <w:ilvl w:val="0"/>
          <w:numId w:val="25"/>
        </w:numPr>
        <w:jc w:val="both"/>
        <w:rPr>
          <w:rFonts w:ascii="Arial" w:hAnsi="Arial" w:cs="Arial"/>
        </w:rPr>
      </w:pPr>
      <w:r w:rsidRPr="00DC57AC">
        <w:rPr>
          <w:rFonts w:ascii="Arial" w:hAnsi="Arial" w:cs="Arial"/>
        </w:rPr>
        <w:t>Find out what happened and what went wrong</w:t>
      </w:r>
    </w:p>
    <w:p w:rsidR="00DC57AC" w:rsidRPr="00DC57AC" w:rsidRDefault="00DC57AC" w:rsidP="00DC57AC">
      <w:pPr>
        <w:numPr>
          <w:ilvl w:val="0"/>
          <w:numId w:val="25"/>
        </w:numPr>
        <w:jc w:val="both"/>
        <w:rPr>
          <w:rFonts w:ascii="Arial" w:hAnsi="Arial" w:cs="Arial"/>
        </w:rPr>
      </w:pPr>
      <w:r w:rsidRPr="00DC57AC">
        <w:rPr>
          <w:rFonts w:ascii="Arial" w:hAnsi="Arial" w:cs="Arial"/>
        </w:rPr>
        <w:t>Enable you to discuss the problem with those concerned, if you would like this.</w:t>
      </w:r>
    </w:p>
    <w:p w:rsidR="00DC57AC" w:rsidRPr="00DC57AC" w:rsidRDefault="00DC57AC" w:rsidP="00DC57AC">
      <w:pPr>
        <w:numPr>
          <w:ilvl w:val="0"/>
          <w:numId w:val="25"/>
        </w:numPr>
        <w:jc w:val="both"/>
        <w:rPr>
          <w:rFonts w:ascii="Arial" w:hAnsi="Arial" w:cs="Arial"/>
        </w:rPr>
      </w:pPr>
      <w:r w:rsidRPr="00DC57AC">
        <w:rPr>
          <w:rFonts w:ascii="Arial" w:hAnsi="Arial" w:cs="Arial"/>
        </w:rPr>
        <w:t>Ensure you receive an apology, where this is appropriate.</w:t>
      </w:r>
    </w:p>
    <w:p w:rsidR="00DC57AC" w:rsidRPr="00DC57AC" w:rsidRDefault="00DC57AC" w:rsidP="00DC57AC">
      <w:pPr>
        <w:numPr>
          <w:ilvl w:val="0"/>
          <w:numId w:val="25"/>
        </w:numPr>
        <w:jc w:val="both"/>
        <w:rPr>
          <w:rFonts w:ascii="Arial" w:hAnsi="Arial" w:cs="Arial"/>
        </w:rPr>
      </w:pPr>
      <w:r w:rsidRPr="00DC57AC">
        <w:rPr>
          <w:rFonts w:ascii="Arial" w:hAnsi="Arial" w:cs="Arial"/>
        </w:rPr>
        <w:t>Identify what can be done to make sure the problem does not happen again.</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b/>
        </w:rPr>
      </w:pPr>
      <w:r w:rsidRPr="00DC57AC">
        <w:rPr>
          <w:rFonts w:ascii="Arial" w:hAnsi="Arial" w:cs="Arial"/>
          <w:b/>
        </w:rPr>
        <w:t>What happens if I am unhappy with the outcome?</w:t>
      </w:r>
    </w:p>
    <w:p w:rsidR="00DC57AC" w:rsidRPr="00DC57AC" w:rsidRDefault="00DC57AC" w:rsidP="00DC57AC">
      <w:pPr>
        <w:jc w:val="both"/>
        <w:rPr>
          <w:rFonts w:ascii="Calibri Light" w:hAnsi="Calibri Light" w:cs="Calibri Light"/>
          <w:sz w:val="20"/>
          <w:szCs w:val="20"/>
        </w:rPr>
      </w:pPr>
    </w:p>
    <w:p w:rsidR="00DC57AC" w:rsidRPr="00DC57AC" w:rsidRDefault="00DC57AC" w:rsidP="00DC57AC">
      <w:pPr>
        <w:jc w:val="both"/>
        <w:rPr>
          <w:rFonts w:ascii="Arial" w:hAnsi="Arial" w:cs="Arial"/>
        </w:rPr>
      </w:pPr>
      <w:r w:rsidRPr="00DC57AC">
        <w:rPr>
          <w:rFonts w:ascii="Arial" w:hAnsi="Arial" w:cs="Arial"/>
        </w:rPr>
        <w:t xml:space="preserve">If you are dissatisfied with our initial response, the Health and Social Care Board offer a local resolution options which you may wish to investigate.  Alternatively if you feel that local resolution has been exhausted you can take your complaint to the Northern Ireland Public Services Ombudsman </w:t>
      </w:r>
      <w:r w:rsidRPr="00DC57AC">
        <w:rPr>
          <w:rFonts w:ascii="Arial" w:hAnsi="Arial" w:cs="Arial"/>
          <w:b/>
        </w:rPr>
        <w:t>within 6 months</w:t>
      </w:r>
      <w:r w:rsidRPr="00DC57AC">
        <w:rPr>
          <w:rFonts w:ascii="Arial" w:hAnsi="Arial" w:cs="Arial"/>
        </w:rPr>
        <w:t xml:space="preserve"> of the Practice response.  They can be contacted by telephone on 0800 343424 or by writing to: The Northern Ireland Public Services Ombudsman, 33 Wellington Place Belfast, BT1 6HN. Email: nipso@nipso.org.uk</w:t>
      </w:r>
    </w:p>
    <w:p w:rsidR="00DC57AC" w:rsidRPr="00DC57AC" w:rsidRDefault="00DC57AC" w:rsidP="00DC57AC">
      <w:pPr>
        <w:spacing w:line="276" w:lineRule="auto"/>
        <w:rPr>
          <w:rFonts w:ascii="Arial" w:hAnsi="Arial" w:cs="Arial"/>
        </w:rPr>
      </w:pPr>
    </w:p>
    <w:p w:rsidR="00DC57AC" w:rsidRPr="00DC57AC" w:rsidRDefault="00DC57AC" w:rsidP="00DC57AC">
      <w:pPr>
        <w:jc w:val="both"/>
        <w:rPr>
          <w:rFonts w:ascii="Arial" w:hAnsi="Arial" w:cs="Arial"/>
          <w:b/>
        </w:rPr>
      </w:pPr>
      <w:r w:rsidRPr="00DC57AC">
        <w:rPr>
          <w:rFonts w:ascii="Arial" w:hAnsi="Arial" w:cs="Arial"/>
          <w:b/>
        </w:rPr>
        <w:t>Health and Social Care Board – Honest Broker</w:t>
      </w:r>
    </w:p>
    <w:p w:rsidR="00DC57AC" w:rsidRPr="00DC57AC" w:rsidRDefault="00DC57AC" w:rsidP="00DC57AC">
      <w:pPr>
        <w:jc w:val="both"/>
        <w:rPr>
          <w:rFonts w:ascii="Arial" w:hAnsi="Arial" w:cs="Arial"/>
          <w:b/>
        </w:rPr>
      </w:pPr>
    </w:p>
    <w:p w:rsidR="00DC57AC" w:rsidRPr="00DC57AC" w:rsidRDefault="00DC57AC" w:rsidP="00DC57AC">
      <w:pPr>
        <w:jc w:val="both"/>
        <w:rPr>
          <w:rFonts w:ascii="Arial" w:hAnsi="Arial" w:cs="Arial"/>
        </w:rPr>
      </w:pPr>
      <w:r w:rsidRPr="00DC57AC">
        <w:rPr>
          <w:rFonts w:ascii="Arial" w:hAnsi="Arial" w:cs="Arial"/>
        </w:rPr>
        <w:t>We hope that, if you have a concern, that you will use our practice complaints procedure.  We believe this will give us the best chance of putting right whatever has gone wrong and an opportunity to improve our practice.  However, if you feel unable to raise your complaint directly with us or are dissatisfied with the result of our investigation you can contact the Department of Health Strategic Planning and Performance Group (SPPG) at the address below.  The Board can act as an intermediary and help in the resolution of your complaint.  One of the SPPG Officers will be happy to discuss the options available to you under the HSC Complaints Procedure and contacted as outlined below:</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Complaints Office</w:t>
      </w:r>
    </w:p>
    <w:p w:rsidR="00DC57AC" w:rsidRPr="00DC57AC" w:rsidRDefault="00DC57AC" w:rsidP="00DC57AC">
      <w:pPr>
        <w:jc w:val="both"/>
        <w:rPr>
          <w:rFonts w:ascii="Arial" w:hAnsi="Arial" w:cs="Arial"/>
        </w:rPr>
      </w:pPr>
      <w:r w:rsidRPr="00DC57AC">
        <w:rPr>
          <w:rFonts w:ascii="Arial" w:hAnsi="Arial" w:cs="Arial"/>
        </w:rPr>
        <w:t>Department of Health Strategic Planning and Performance Group</w:t>
      </w:r>
    </w:p>
    <w:p w:rsidR="00DC57AC" w:rsidRPr="00DC57AC" w:rsidRDefault="00DC57AC" w:rsidP="00DC57AC">
      <w:pPr>
        <w:jc w:val="both"/>
        <w:rPr>
          <w:rFonts w:ascii="Arial" w:hAnsi="Arial" w:cs="Arial"/>
        </w:rPr>
      </w:pPr>
      <w:r w:rsidRPr="00DC57AC">
        <w:rPr>
          <w:rFonts w:ascii="Arial" w:hAnsi="Arial" w:cs="Arial"/>
        </w:rPr>
        <w:t xml:space="preserve">12-22 </w:t>
      </w:r>
      <w:proofErr w:type="spellStart"/>
      <w:r w:rsidRPr="00DC57AC">
        <w:rPr>
          <w:rFonts w:ascii="Arial" w:hAnsi="Arial" w:cs="Arial"/>
        </w:rPr>
        <w:t>Linenhall</w:t>
      </w:r>
      <w:proofErr w:type="spellEnd"/>
      <w:r w:rsidRPr="00DC57AC">
        <w:rPr>
          <w:rFonts w:ascii="Arial" w:hAnsi="Arial" w:cs="Arial"/>
        </w:rPr>
        <w:t xml:space="preserve"> Street</w:t>
      </w:r>
    </w:p>
    <w:p w:rsidR="00DC57AC" w:rsidRPr="00DC57AC" w:rsidRDefault="00DC57AC" w:rsidP="00DC57AC">
      <w:pPr>
        <w:jc w:val="both"/>
        <w:rPr>
          <w:rFonts w:ascii="Arial" w:hAnsi="Arial" w:cs="Arial"/>
        </w:rPr>
      </w:pPr>
      <w:r w:rsidRPr="00DC57AC">
        <w:rPr>
          <w:rFonts w:ascii="Arial" w:hAnsi="Arial" w:cs="Arial"/>
        </w:rPr>
        <w:t>Belfast</w:t>
      </w:r>
    </w:p>
    <w:p w:rsidR="00DC57AC" w:rsidRPr="00DC57AC" w:rsidRDefault="00DC57AC" w:rsidP="00DC57AC">
      <w:pPr>
        <w:jc w:val="both"/>
        <w:rPr>
          <w:rFonts w:ascii="Arial" w:hAnsi="Arial" w:cs="Arial"/>
        </w:rPr>
      </w:pPr>
      <w:r w:rsidRPr="00DC57AC">
        <w:rPr>
          <w:rFonts w:ascii="Arial" w:hAnsi="Arial" w:cs="Arial"/>
        </w:rPr>
        <w:t>BT2 8BS</w:t>
      </w:r>
    </w:p>
    <w:p w:rsidR="00DC57AC" w:rsidRPr="00DC57AC" w:rsidRDefault="00DC57AC" w:rsidP="00DC57AC">
      <w:pPr>
        <w:jc w:val="both"/>
        <w:rPr>
          <w:rFonts w:ascii="Arial" w:hAnsi="Arial" w:cs="Arial"/>
        </w:rPr>
      </w:pPr>
      <w:r w:rsidRPr="00DC57AC">
        <w:rPr>
          <w:rFonts w:ascii="Arial" w:hAnsi="Arial" w:cs="Arial"/>
        </w:rPr>
        <w:t>Tel: 02895363893</w:t>
      </w:r>
    </w:p>
    <w:p w:rsidR="00DC57AC" w:rsidRPr="00DC57AC" w:rsidRDefault="00DC57AC" w:rsidP="00DC57AC">
      <w:pPr>
        <w:jc w:val="both"/>
        <w:rPr>
          <w:rFonts w:ascii="Arial" w:hAnsi="Arial" w:cs="Arial"/>
        </w:rPr>
      </w:pPr>
      <w:r w:rsidRPr="00DC57AC">
        <w:rPr>
          <w:rFonts w:ascii="Arial" w:hAnsi="Arial" w:cs="Arial"/>
        </w:rPr>
        <w:t>Email: complaints.sppg@hscni.net</w:t>
      </w:r>
    </w:p>
    <w:p w:rsidR="00DC57AC" w:rsidRPr="00DC57AC" w:rsidRDefault="00DC57AC" w:rsidP="00DC57AC">
      <w:pPr>
        <w:jc w:val="both"/>
        <w:rPr>
          <w:rFonts w:ascii="Arial" w:hAnsi="Arial" w:cs="Arial"/>
        </w:rPr>
      </w:pPr>
      <w:r w:rsidRPr="00DC57AC">
        <w:rPr>
          <w:rFonts w:ascii="Arial" w:hAnsi="Arial" w:cs="Arial"/>
        </w:rPr>
        <w:t xml:space="preserve">Website:  </w:t>
      </w:r>
    </w:p>
    <w:p w:rsidR="00DC57AC" w:rsidRPr="00DC57AC" w:rsidRDefault="00DC57AC" w:rsidP="00DC57AC">
      <w:pPr>
        <w:jc w:val="both"/>
        <w:rPr>
          <w:rFonts w:ascii="Arial" w:hAnsi="Arial" w:cs="Arial"/>
        </w:rPr>
      </w:pPr>
      <w:r w:rsidRPr="00DC57AC">
        <w:rPr>
          <w:rFonts w:ascii="Arial" w:hAnsi="Arial" w:cs="Arial"/>
        </w:rPr>
        <w:t>Health and Social Care Online (https://www.nidirect.gov.uk//online.hscni.net/)</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b/>
        </w:rPr>
      </w:pPr>
      <w:r w:rsidRPr="00DC57AC">
        <w:rPr>
          <w:rFonts w:ascii="Arial" w:hAnsi="Arial" w:cs="Arial"/>
          <w:b/>
        </w:rPr>
        <w:t>Patient Client Council - Advocacy</w:t>
      </w: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r w:rsidRPr="00DC57AC">
        <w:rPr>
          <w:rFonts w:ascii="Arial" w:hAnsi="Arial" w:cs="Arial"/>
        </w:rPr>
        <w:t>Patient and Client Council can provide free and confidential advice, information and help you to make a complaint.  This might include help with writing letters, making telephone calls and supporting you at any meetings they might need to attend.  More information on the services provided by the patient and client council is available from the Council directly.  Contact details are below:</w:t>
      </w:r>
    </w:p>
    <w:p w:rsidR="00DC57AC" w:rsidRPr="00DC57AC" w:rsidRDefault="00DC57AC" w:rsidP="00DC57AC">
      <w:pPr>
        <w:rPr>
          <w:rFonts w:ascii="Arial" w:eastAsia="Calibri" w:hAnsi="Arial" w:cs="Arial"/>
        </w:rPr>
      </w:pPr>
    </w:p>
    <w:p w:rsidR="00DC57AC" w:rsidRPr="00DC57AC" w:rsidRDefault="00DC57AC" w:rsidP="00DC57AC">
      <w:pPr>
        <w:rPr>
          <w:rFonts w:ascii="Arial" w:eastAsia="Calibri" w:hAnsi="Arial" w:cs="Arial"/>
        </w:rPr>
      </w:pPr>
      <w:r w:rsidRPr="00DC57AC">
        <w:rPr>
          <w:rFonts w:ascii="Arial" w:eastAsia="Calibri" w:hAnsi="Arial" w:cs="Arial"/>
        </w:rPr>
        <w:t>Patient Client Council</w:t>
      </w:r>
    </w:p>
    <w:p w:rsidR="00DC57AC" w:rsidRPr="00DC57AC" w:rsidRDefault="00DC57AC" w:rsidP="00DC57AC">
      <w:pPr>
        <w:rPr>
          <w:rFonts w:ascii="Arial" w:eastAsia="Calibri" w:hAnsi="Arial" w:cs="Arial"/>
        </w:rPr>
      </w:pPr>
      <w:r w:rsidRPr="00DC57AC">
        <w:rPr>
          <w:rFonts w:ascii="Arial" w:eastAsia="Calibri" w:hAnsi="Arial" w:cs="Arial"/>
        </w:rPr>
        <w:t>2</w:t>
      </w:r>
      <w:r w:rsidRPr="00DC57AC">
        <w:rPr>
          <w:rFonts w:ascii="Arial" w:eastAsia="Calibri" w:hAnsi="Arial" w:cs="Arial"/>
          <w:vertAlign w:val="superscript"/>
        </w:rPr>
        <w:t>nd</w:t>
      </w:r>
      <w:r w:rsidRPr="00DC57AC">
        <w:rPr>
          <w:rFonts w:ascii="Arial" w:eastAsia="Calibri" w:hAnsi="Arial" w:cs="Arial"/>
        </w:rPr>
        <w:t xml:space="preserve"> Floor, Central House</w:t>
      </w:r>
    </w:p>
    <w:p w:rsidR="00DC57AC" w:rsidRPr="00DC57AC" w:rsidRDefault="00DC57AC" w:rsidP="00DC57AC">
      <w:pPr>
        <w:rPr>
          <w:rFonts w:ascii="Arial" w:eastAsia="Calibri" w:hAnsi="Arial" w:cs="Arial"/>
        </w:rPr>
      </w:pPr>
      <w:r w:rsidRPr="00DC57AC">
        <w:rPr>
          <w:rFonts w:ascii="Arial" w:eastAsia="Calibri" w:hAnsi="Arial" w:cs="Arial"/>
        </w:rPr>
        <w:t>79 Chichester Street</w:t>
      </w:r>
    </w:p>
    <w:p w:rsidR="00DC57AC" w:rsidRPr="00DC57AC" w:rsidRDefault="00DC57AC" w:rsidP="00DC57AC">
      <w:pPr>
        <w:rPr>
          <w:rFonts w:ascii="Arial" w:eastAsia="Calibri" w:hAnsi="Arial" w:cs="Arial"/>
        </w:rPr>
      </w:pPr>
      <w:r w:rsidRPr="00DC57AC">
        <w:rPr>
          <w:rFonts w:ascii="Arial" w:eastAsia="Calibri" w:hAnsi="Arial" w:cs="Arial"/>
        </w:rPr>
        <w:t>Belfast BT1 4JE</w:t>
      </w:r>
    </w:p>
    <w:p w:rsidR="00DC57AC" w:rsidRPr="00DC57AC" w:rsidRDefault="00DC57AC" w:rsidP="00DC57AC">
      <w:pPr>
        <w:rPr>
          <w:rFonts w:ascii="Arial" w:eastAsia="Calibri" w:hAnsi="Arial" w:cs="Arial"/>
        </w:rPr>
      </w:pPr>
      <w:r w:rsidRPr="00DC57AC">
        <w:rPr>
          <w:rFonts w:ascii="Arial" w:eastAsia="Calibri" w:hAnsi="Arial" w:cs="Arial"/>
        </w:rPr>
        <w:t xml:space="preserve">Tel: 0800 917 0222              Web: </w:t>
      </w:r>
      <w:hyperlink r:id="rId9" w:history="1">
        <w:r w:rsidRPr="00DC57AC">
          <w:rPr>
            <w:rFonts w:ascii="Arial" w:eastAsia="Calibri" w:hAnsi="Arial" w:cs="Arial"/>
            <w:color w:val="0000FF"/>
            <w:u w:val="single"/>
          </w:rPr>
          <w:t>http://www.patientclientcouncil.hscni.net</w:t>
        </w:r>
      </w:hyperlink>
    </w:p>
    <w:p w:rsidR="00DC57AC" w:rsidRPr="00DC57AC" w:rsidRDefault="00DC57AC" w:rsidP="00DC57AC">
      <w:pPr>
        <w:jc w:val="both"/>
        <w:rPr>
          <w:rFonts w:ascii="Arial" w:hAnsi="Arial" w:cs="Arial"/>
          <w:b/>
        </w:rPr>
      </w:pPr>
    </w:p>
    <w:p w:rsidR="00DC57AC" w:rsidRPr="00DC57AC" w:rsidRDefault="00DC57AC" w:rsidP="00DC57AC">
      <w:pPr>
        <w:spacing w:line="276" w:lineRule="auto"/>
        <w:rPr>
          <w:rFonts w:ascii="Arial" w:hAnsi="Arial" w:cs="Arial"/>
        </w:rPr>
      </w:pP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rPr>
      </w:pPr>
    </w:p>
    <w:p w:rsidR="00DC57AC" w:rsidRPr="00DC57AC" w:rsidRDefault="00DC57AC" w:rsidP="00DC57AC">
      <w:pPr>
        <w:jc w:val="both"/>
        <w:rPr>
          <w:rFonts w:ascii="Arial" w:hAnsi="Arial" w:cs="Arial"/>
          <w:b/>
        </w:rPr>
      </w:pPr>
    </w:p>
    <w:p w:rsidR="00DC57AC" w:rsidRPr="00DC57AC" w:rsidRDefault="00DC57AC" w:rsidP="00DC57AC">
      <w:pPr>
        <w:jc w:val="both"/>
        <w:rPr>
          <w:rFonts w:ascii="Arial" w:hAnsi="Arial" w:cs="Arial"/>
          <w:b/>
        </w:rPr>
      </w:pPr>
    </w:p>
    <w:p w:rsidR="00DC57AC" w:rsidRPr="00DC57AC" w:rsidRDefault="00DC57AC" w:rsidP="00DC57AC">
      <w:pPr>
        <w:jc w:val="both"/>
        <w:rPr>
          <w:rFonts w:ascii="Arial" w:hAnsi="Arial" w:cs="Arial"/>
          <w:b/>
        </w:rPr>
      </w:pPr>
    </w:p>
    <w:p w:rsidR="00DC57AC" w:rsidRPr="00DC57AC" w:rsidRDefault="00DC57AC" w:rsidP="00DC57AC">
      <w:pPr>
        <w:rPr>
          <w:rFonts w:ascii="Arial" w:hAnsi="Arial" w:cs="Arial"/>
        </w:rPr>
      </w:pPr>
    </w:p>
    <w:p w:rsidR="00B364F9" w:rsidRPr="00DC57AC" w:rsidRDefault="00B364F9">
      <w:pPr>
        <w:spacing w:after="160" w:line="259" w:lineRule="auto"/>
        <w:rPr>
          <w:rFonts w:ascii="Arial" w:hAnsi="Arial" w:cs="Arial"/>
        </w:rPr>
      </w:pPr>
      <w:bookmarkStart w:id="0" w:name="_GoBack"/>
      <w:bookmarkEnd w:id="0"/>
    </w:p>
    <w:sectPr w:rsidR="00B364F9" w:rsidRPr="00DC57AC" w:rsidSect="00B364F9">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BB1"/>
    <w:multiLevelType w:val="hybridMultilevel"/>
    <w:tmpl w:val="1246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1DEE"/>
    <w:multiLevelType w:val="hybridMultilevel"/>
    <w:tmpl w:val="DC7A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736EE"/>
    <w:multiLevelType w:val="hybridMultilevel"/>
    <w:tmpl w:val="0888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3590"/>
    <w:multiLevelType w:val="hybridMultilevel"/>
    <w:tmpl w:val="F950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32B1F"/>
    <w:multiLevelType w:val="hybridMultilevel"/>
    <w:tmpl w:val="E7A2B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E0E75"/>
    <w:multiLevelType w:val="hybridMultilevel"/>
    <w:tmpl w:val="C2F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94585"/>
    <w:multiLevelType w:val="hybridMultilevel"/>
    <w:tmpl w:val="A95E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B012C"/>
    <w:multiLevelType w:val="hybridMultilevel"/>
    <w:tmpl w:val="38EC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C0CC7"/>
    <w:multiLevelType w:val="hybridMultilevel"/>
    <w:tmpl w:val="1C3C7830"/>
    <w:lvl w:ilvl="0" w:tplc="E8743304">
      <w:start w:val="1"/>
      <w:numFmt w:val="decimal"/>
      <w:lvlText w:val="%1."/>
      <w:lvlJc w:val="left"/>
      <w:pPr>
        <w:ind w:left="644" w:hanging="360"/>
      </w:pPr>
      <w:rPr>
        <w:rFonts w:asciiTheme="minorHAnsi" w:hAnsiTheme="minorHAnsi" w:cstheme="minorHAns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5E7F77"/>
    <w:multiLevelType w:val="hybridMultilevel"/>
    <w:tmpl w:val="86F6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9B0219"/>
    <w:multiLevelType w:val="hybridMultilevel"/>
    <w:tmpl w:val="ADD0861C"/>
    <w:lvl w:ilvl="0" w:tplc="A118B7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50F87548"/>
    <w:multiLevelType w:val="hybridMultilevel"/>
    <w:tmpl w:val="23C8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A5808"/>
    <w:multiLevelType w:val="hybridMultilevel"/>
    <w:tmpl w:val="C9DE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F2DCC"/>
    <w:multiLevelType w:val="hybridMultilevel"/>
    <w:tmpl w:val="5A7A5B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2D09DE"/>
    <w:multiLevelType w:val="hybridMultilevel"/>
    <w:tmpl w:val="7D84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45DCB"/>
    <w:multiLevelType w:val="hybridMultilevel"/>
    <w:tmpl w:val="0408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914D9"/>
    <w:multiLevelType w:val="hybridMultilevel"/>
    <w:tmpl w:val="03DEB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8C3EE1"/>
    <w:multiLevelType w:val="hybridMultilevel"/>
    <w:tmpl w:val="EC8A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44167"/>
    <w:multiLevelType w:val="hybridMultilevel"/>
    <w:tmpl w:val="7BB093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4E2709"/>
    <w:multiLevelType w:val="hybridMultilevel"/>
    <w:tmpl w:val="5C96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11"/>
  </w:num>
  <w:num w:numId="5">
    <w:abstractNumId w:val="3"/>
  </w:num>
  <w:num w:numId="6">
    <w:abstractNumId w:val="0"/>
  </w:num>
  <w:num w:numId="7">
    <w:abstractNumId w:val="2"/>
  </w:num>
  <w:num w:numId="8">
    <w:abstractNumId w:val="9"/>
  </w:num>
  <w:num w:numId="9">
    <w:abstractNumId w:val="19"/>
  </w:num>
  <w:num w:numId="10">
    <w:abstractNumId w:val="1"/>
  </w:num>
  <w:num w:numId="11">
    <w:abstractNumId w:val="6"/>
  </w:num>
  <w:num w:numId="12">
    <w:abstractNumId w:val="7"/>
  </w:num>
  <w:num w:numId="13">
    <w:abstractNumId w:val="5"/>
  </w:num>
  <w:num w:numId="14">
    <w:abstractNumId w:val="15"/>
  </w:num>
  <w:num w:numId="15">
    <w:abstractNumId w:val="14"/>
  </w:num>
  <w:num w:numId="16">
    <w:abstractNumId w:val="17"/>
  </w:num>
  <w:num w:numId="17">
    <w:abstractNumId w:val="13"/>
  </w:num>
  <w:num w:numId="18">
    <w:abstractNumId w:val="16"/>
  </w:num>
  <w:num w:numId="19">
    <w:abstractNumId w:val="4"/>
  </w:num>
  <w:num w:numId="20">
    <w:abstractNumId w:val="18"/>
  </w:num>
  <w:num w:numId="21">
    <w:abstractNumId w:val="16"/>
    <w:lvlOverride w:ilvl="0"/>
    <w:lvlOverride w:ilvl="1"/>
    <w:lvlOverride w:ilvl="2"/>
    <w:lvlOverride w:ilvl="3"/>
    <w:lvlOverride w:ilvl="4"/>
    <w:lvlOverride w:ilvl="5"/>
    <w:lvlOverride w:ilvl="6"/>
    <w:lvlOverride w:ilvl="7"/>
    <w:lvlOverride w:ilvl="8"/>
  </w:num>
  <w:num w:numId="22">
    <w:abstractNumId w:val="19"/>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 w:numId="2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F9"/>
    <w:rsid w:val="00314D8E"/>
    <w:rsid w:val="00B364F9"/>
    <w:rsid w:val="00DC5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1DC0"/>
  <w15:chartTrackingRefBased/>
  <w15:docId w15:val="{B3DF7344-B005-4FE6-B4BD-F4D39E3E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4F9"/>
    <w:pPr>
      <w:ind w:left="720"/>
      <w:contextualSpacing/>
    </w:pPr>
  </w:style>
  <w:style w:type="paragraph" w:styleId="NoSpacing">
    <w:name w:val="No Spacing"/>
    <w:uiPriority w:val="1"/>
    <w:qFormat/>
    <w:rsid w:val="00B364F9"/>
    <w:pPr>
      <w:spacing w:after="0" w:line="240" w:lineRule="auto"/>
    </w:pPr>
  </w:style>
  <w:style w:type="character" w:styleId="Hyperlink">
    <w:name w:val="Hyperlink"/>
    <w:basedOn w:val="DefaultParagraphFont"/>
    <w:uiPriority w:val="99"/>
    <w:unhideWhenUsed/>
    <w:rsid w:val="00B364F9"/>
    <w:rPr>
      <w:color w:val="0563C1" w:themeColor="hyperlink"/>
      <w:u w:val="single"/>
    </w:rPr>
  </w:style>
  <w:style w:type="paragraph" w:styleId="BalloonText">
    <w:name w:val="Balloon Text"/>
    <w:basedOn w:val="Normal"/>
    <w:link w:val="BalloonTextChar"/>
    <w:uiPriority w:val="99"/>
    <w:semiHidden/>
    <w:unhideWhenUsed/>
    <w:rsid w:val="00B36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4F9"/>
    <w:rPr>
      <w:rFonts w:ascii="Segoe UI" w:eastAsia="Times New Roman" w:hAnsi="Segoe UI" w:cs="Segoe UI"/>
      <w:sz w:val="18"/>
      <w:szCs w:val="18"/>
    </w:rPr>
  </w:style>
  <w:style w:type="paragraph" w:styleId="Header">
    <w:name w:val="header"/>
    <w:basedOn w:val="Normal"/>
    <w:link w:val="HeaderChar"/>
    <w:uiPriority w:val="99"/>
    <w:semiHidden/>
    <w:unhideWhenUsed/>
    <w:rsid w:val="00DC57AC"/>
    <w:pPr>
      <w:tabs>
        <w:tab w:val="center" w:pos="4513"/>
        <w:tab w:val="right" w:pos="9026"/>
      </w:tabs>
    </w:pPr>
  </w:style>
  <w:style w:type="character" w:customStyle="1" w:styleId="HeaderChar">
    <w:name w:val="Header Char"/>
    <w:basedOn w:val="DefaultParagraphFont"/>
    <w:link w:val="Header"/>
    <w:uiPriority w:val="99"/>
    <w:semiHidden/>
    <w:rsid w:val="00DC57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nipso@nips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ientclientcouncil.hscni.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tientclientcouncil.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Taggart (Z00385)</dc:creator>
  <cp:keywords/>
  <dc:description/>
  <cp:lastModifiedBy>emis2000</cp:lastModifiedBy>
  <cp:revision>2</cp:revision>
  <cp:lastPrinted>2026-02-13T16:44:00Z</cp:lastPrinted>
  <dcterms:created xsi:type="dcterms:W3CDTF">2026-02-26T09:38:00Z</dcterms:created>
  <dcterms:modified xsi:type="dcterms:W3CDTF">2026-02-26T09:38:00Z</dcterms:modified>
</cp:coreProperties>
</file>